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X3895c96c7d432e76596cd34868f5fb5db9dd671"/>
    <w:p>
      <w:pPr>
        <w:pStyle w:val="Heading1"/>
      </w:pPr>
      <w:r>
        <w:t xml:space="preserve">Internationalisation and Firm Performance across 49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internationalisation–performance (I–P) relationship holds across a large and institutionally diverse set of Asian and Pacific economies and identify the conditions under which firms convert export intensity into productive performance. Using microdata from 91,982 firms across 49 economies and 102 country-year waves of the World Bank Enterprise Survey (2003–2025), spanning all six Institutional Capability and Resource Vulnerability (ICRV) regime groups, we estimate a hierarchical set of OLS models with HC1 robust standard errors. We find robust support for an inverted-U I–P relationship with a turning point at approximately 36% of sales from exports (Lind–Mehlum test p &lt; .001; confirmed in M11 at TP=34.6%, p=.002). Technological capability (TCI) raises the performance level without reliably reshaping the curve. Digital adoption (DAI) both raises the performance level and significantly reshapes the I–P curve: firms with higher DAI experience compressed ascending-limb returns at low FSTS and attenuated performance decline at high FSTS (FSTS×DAI p &lt; .01; FSTS²×DAI p &lt; .01 in M8–M9). Institutional regime (ICRV) moderates both slope and curvature. Managerial experience and female top management improve performance; experience additionally moderates the curve shape in the full specification. These findings offer a parsimonious resolution to Asian I–P heterogeneity: the relationship is universally inverted-U, but regime quality and digital capability jointly determine where the turning point falls.</w:t>
      </w:r>
    </w:p>
    <w:p>
      <w:pPr>
        <w:pStyle w:val="BodyText"/>
      </w:pPr>
      <w:r>
        <w:rPr>
          <w:bCs/>
          <w:b/>
        </w:rPr>
        <w:t xml:space="preserve">Keywords:</w:t>
      </w:r>
      <w:r>
        <w:t xml:space="preserve"> </w:t>
      </w:r>
      <w:r>
        <w:t xml:space="preserve">internationalisation–performance;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 and how export internationalisation translates into firm performance.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some studies report positive relationships (Pangarkar, 2008; Korea), others inverted-U curves (Chiao et al., 2006; Taiwan), and still others find null or negative effects (Mondal et al., 2022; India). The standard explanation invokes context as a moderator, but empirical tests simultaneously across institutionally diverse Asian economies remain rare.</w:t>
      </w:r>
    </w:p>
    <w:p>
      <w:pPr>
        <w:pStyle w:val="BodyText"/>
      </w:pPr>
      <w:r>
        <w:t xml:space="preserve">This paper addresses that gap. We pool 91,982 firm-observations from 49 Asian and Pacific economies spanning 2003–2025, harmonised from the World Bank Enterprise Survey (WBES). Our sample spans all six ICRV regime groups —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Oman) — classified through the Institutional Capability and Resource Vulnerability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turning point at approximately 36% foreign sales intensity across all specifications (N = 84,910–29,840), robust even in the full three-way moderation model (M11: TP=34.6%, LM p=.002). Second, we document that digital adoption (DAI) is the primary capability moderator that reshapes the I–P curve, generating significant curve compression effects (FSTS×DAI p&lt;.001) that emerge even without controlling for manager characteristics. Technological capability (TCI) raises the performance level but does not reliably reshape the ascending limb across this sample. Third, we document that institutional regime (ICRV group) systematically moderates both the slope and curvature of the I–P function, with DAI×ICRV interactions (p=.012) indicating that digital capabilities deliver stronger per-unit performance returns in weaker institutional environments.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8"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internationalisation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internationalisation carries fixed entry costs that depress performance; intermediate internationalisation yields learning and scale economies; high internationalisation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internationalisation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 measured through website presence and electronic-payment share — reduces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for all firms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internationalisation costs, so the turning point occurs earlier. Equivalently, holding FSTS constant, firms in stronger institutional regimes earn higher returns per unit of internationalisation.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p>
      <w:r>
        <w:pict>
          <v:rect style="width:0;height:1.5pt" o:hralign="center" o:hrstd="t" o:hr="t"/>
        </w:pict>
      </w:r>
    </w:p>
    <w:bookmarkEnd w:id="27"/>
    <w:bookmarkEnd w:id="28"/>
    <w:bookmarkStart w:id="33" w:name="X5eb800a903106e48a684e9ea9de39ed619b9df8"/>
    <w:p>
      <w:pPr>
        <w:pStyle w:val="Heading2"/>
      </w:pPr>
      <w:r>
        <w:t xml:space="preserve">3. Data and Methods</w:t>
      </w:r>
    </w:p>
    <w:bookmarkStart w:id="29" w:name="X180323993af082d7b264d69830cacecf330a102"/>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49 Asian and Pacific economies across 102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dataset contains 91,982 firm-observations (before applying outcome and FSTS non-missing requirements). Oman's available data (2003 vintage) predates the digital-capability variables used in M6–M11; it contributes to M2 but drops from M3+ due to missing controls.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29"/>
    <w:bookmarkStart w:id="30"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0"/>
    <w:bookmarkStart w:id="31" w:name="X88d3b635b18ee197bee6ec760e4576787847be1"/>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1"/>
    <w:bookmarkStart w:id="32" w:name="X7306ee6cc650c2a8c74023d786fd3b6ffa0ad4b"/>
    <w:p>
      <w:pPr>
        <w:pStyle w:val="Heading3"/>
      </w:pPr>
      <w:r>
        <w:t xml:space="preserve">3.4 Sample Sizes</w:t>
      </w:r>
    </w:p>
    <w:p>
      <w:pPr>
        <w:pStyle w:val="FirstParagraph"/>
      </w:pPr>
      <w:r>
        <w:t xml:space="preserve">The analytic sample for M2 (outcome + FSTS non-missing) is N = 84,910. Adding controls reduces the sample to N = 38,342 (M3); country-year FE model M5 uses the same sample. TCI-moderation models (M6, M7) use N ≈ 38,051; adding DAI (M8) N ≈ 37,940; manager models (M9) N ≈ 35,568;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2"/>
    <w:bookmarkEnd w:id="33"/>
    <w:bookmarkStart w:id="41" w:name="X121719332867ee227f0a04b486098cee978c6e6"/>
    <w:p>
      <w:pPr>
        <w:pStyle w:val="Heading2"/>
      </w:pPr>
      <w:r>
        <w:t xml:space="preserve">4. Results</w:t>
      </w:r>
    </w:p>
    <w:bookmarkStart w:id="34" w:name="X1a3b7383b8b125b3d271986dbdfbc78bb7f954a"/>
    <w:p>
      <w:pPr>
        <w:pStyle w:val="Heading3"/>
      </w:pPr>
      <w:r>
        <w:t xml:space="preserve">4.1 Descriptive Statistics and Correlations</w:t>
      </w:r>
    </w:p>
    <w:p>
      <w:pPr>
        <w:pStyle w:val="FirstParagraph"/>
      </w:pPr>
      <w:r>
        <w:t xml:space="preserve">The full analytic sample spans 49 economies and 102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 reflecting PPP-unadjusted nominal sales differences). Pairwise correlations among focal variables are modest (|r| &lt; .15 for all pairs), and variance inflation factors in the full model are below 3.5, ruling out multicollinearity concerns.</w:t>
      </w:r>
    </w:p>
    <w:bookmarkEnd w:id="34"/>
    <w:bookmarkStart w:id="35"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+1.316 (p &lt; .001) and β₂ = −1.810 (p &lt; .001), consistent with an inverted-U. Following Haans, Pieters, and He (2016), all four formal conditions for a genuine inverted-U are satisfied in M2: (C1) β₁ = +1.316 (p &lt; .001), confirming a positive ascending limb; (C2) β₂ = −1.810 (p &lt; .001), confirming concavity; (C3) the turning point TP* ≈ 36.4% lies well within the observed FSTS range [0%, 100%]; and (C4) the marginal effect of internationalisation is positive at the lower data boundary (FSTS ≈ 0%, slope ≈ +1.32) and negative at the upper boundary (FSTS ≈ 100%, slope ≈ −2.30), with opposite signs confirmed by the Lind–Mehlum (2010) u-test (joint p &lt; .001). The inverted-U remains significant when controls are added (M3: TP = 33.8%, LM p &lt; .001) and when country-year fixed effects absorb all unobserved time-varying country heterogeneity (M5: TP = 40.0%, LM p &lt; .001, adjR² = .677). The consistency of the turning point across M2, M3, and M5 — ranging from 33.8% to 40.0% — provides strong evidence that the inverted-U is not an artefact of omitted country-level confounders. Crucially, the inverted-U is also confirmed in the full three-way moderation model M11 (TP = 34.6%, LM p = .002),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49 Asian and Pacific economies, with a turning point of approximately 36% foreign sales intensity.</w:t>
      </w:r>
    </w:p>
    <w:bookmarkEnd w:id="35"/>
    <w:bookmarkStart w:id="36"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 from .015 to .024. The interaction model M7 adds FSTS×TCI and FSTS²×TCI. Results show:</w:t>
      </w:r>
    </w:p>
    <w:p>
      <w:pPr>
        <w:numPr>
          <w:ilvl w:val="0"/>
          <w:numId w:val="1001"/>
        </w:numPr>
        <w:pStyle w:val="Compact"/>
      </w:pPr>
      <w:r>
        <w:t xml:space="preserve">TCI main effect: β = +0.344 (p &lt; .001) — higher TCI raises baseline performance</w:t>
      </w:r>
    </w:p>
    <w:p>
      <w:pPr>
        <w:numPr>
          <w:ilvl w:val="0"/>
          <w:numId w:val="1001"/>
        </w:numPr>
        <w:pStyle w:val="Compact"/>
      </w:pPr>
      <w:r>
        <w:t xml:space="preserve">FSTS×TCI: β = −0.144 (NS) — the ascending limb interaction is not 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 across M7–M9. The inverted-U remains confirmed in M7 (TP = 33.9%, LM p &lt; .001). A one-SD increase in TCI raises labour productivity by exp(0.344) − 1 ≈ 41%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49-economy sample, attenuating individual-country patterns documented in P3/P5.</w:t>
      </w:r>
    </w:p>
    <w:bookmarkEnd w:id="36"/>
    <w:bookmarkStart w:id="37"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significant (β = +0.155, p &lt; .001), consistent with approximately a 17% performance premium for digitally active firms (exp(0.155) − 1 ≈ 17%). Strikingly, both DAI interaction terms are significant in M8: FSTS×DAI = −0.614 (p &lt; .001, ***) and FSTS²×DAI = +0.766 (p = .001, **).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−0.780 (p &lt; .001, ***) and FSTS²×DAI = +0.994 (p &lt; .001, ***). The inverted-U is maintained in both specifications (M8: TP = 33.8%; M9: TP = 36.1%).</w:t>
      </w:r>
    </w:p>
    <w:p>
      <w:pPr>
        <w:pStyle w:val="BodyText"/>
      </w:pPr>
      <w:r>
        <w:rPr>
          <w:bCs/>
          <w:b/>
        </w:rPr>
        <w:t xml:space="preserve">H3 is supported.</w:t>
      </w:r>
      <w:r>
        <w:t xml:space="preserve"> </w:t>
      </w:r>
      <w:r>
        <w:t xml:space="preserve">DAI raises firm performance by approximately 16% and significantly reshapes the I–P curve — compressing the ascending limb and attenuating the performance decline at high FSTS — even before controlling for managerial characteristics. This is the primary capability-moderating finding of the study.</w:t>
      </w:r>
    </w:p>
    <w:bookmarkEnd w:id="37"/>
    <w:bookmarkStart w:id="38"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 +0.185, p &lt; .001) both raise firm performance independently of FSTS in M9. The experience effect implies approximately 0.7% higher labour productivity per additional year of sectoral experience; the female top manager effect implies approximately a 20% performance premium (exp(0.185) − 1 ≈ 20%). The FSTS×manager_experience interaction is not significant in M9 (β = −0.012, p = .133), but is marginally significant in M11 (β = −0.019, p = .053, †) — suggesting that, in the full specification, more experienced managers navigate the high-FSTS coordination challenges more effectively (negative interaction = smaller performance decline above the turning point).</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8"/>
    <w:bookmarkStart w:id="39"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 — controlling for TCI, DAI, and firm characteristics — each step up the ICRV scale (from Group I to VI, i.e., from stronger to weaker institutions) is associated with approximately a 115% higher labour productivity level (exp(0.763) − 1 ≈ 115%).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+1.762, p &lt; .001) and FSTS²×ICRV (β = −2.746, p &lt; .001). These indicate that the ascending slope of the I–P curve is steeper in weaker-institution economies (higher ICRV group), but so is the descending slope —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internationalisation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39"/>
    <w:bookmarkStart w:id="40" w:name="Xe3d609495bfc842c038fb0d5f07a3f6c06c0462"/>
    <w:p>
      <w:pPr>
        <w:pStyle w:val="Heading3"/>
      </w:pPr>
      <w:r>
        <w:t xml:space="preserve">4.7 Full Three-Way Moderation (H7-P7)</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34.6%, LM p = .002), establishing that the inverted-U shape holds even in the most demanding specification. The DAI×ICRV interaction (β = +0.060, p = .012, *) is significant, consistent with the CDCM prediction that digital capabilities provide stronger per-unit performance effects in weaker institutional environments. The three-way FSTS×DAI×ICRV term (β = −0.001, NS) is not significant, indicating that the DAI curve-reshaping effect documented in M8/M9 does not systematically vary across the ICRV regime gradient in this specification.</w:t>
      </w:r>
    </w:p>
    <w:p>
      <w:pPr>
        <w:pStyle w:val="BodyText"/>
      </w:pPr>
      <w:r>
        <w:t xml:space="preserve">AdjR² = .067 in M11 (vs. .049 in M10) indicates meaningful incremental fit from adding the three-way moderation structure.</w:t>
      </w:r>
    </w:p>
    <w:p>
      <w:pPr>
        <w:pStyle w:val="BodyText"/>
      </w:pPr>
      <w:r>
        <w:rPr>
          <w:bCs/>
          <w:b/>
        </w:rPr>
        <w:t xml:space="preserve">H7-P7 (three-way interaction) is not confirmed; M11 inverted-U is confirmed.</w:t>
      </w:r>
      <w:r>
        <w:t xml:space="preserve"> </w:t>
      </w:r>
      <w:r>
        <w:t xml:space="preserve">The DAI×ICRV main interaction is significant (p = .012), supporting regime-contingent digital effects. The three-way FSTS curve-reshaping via DAI×ICRV does not reach significance — the WBES DAI measure's limited dimensionality (Tier 1–2 only) likely constrains detection of the full CDCM-predicted interaction.</w:t>
      </w:r>
    </w:p>
    <w:p>
      <w:r>
        <w:pict>
          <v:rect style="width:0;height:1.5pt" o:hralign="center" o:hrstd="t" o:hr="t"/>
        </w:pict>
      </w:r>
    </w:p>
    <w:bookmarkEnd w:id="40"/>
    <w:bookmarkEnd w:id="41"/>
    <w:bookmarkStart w:id="47" w:name="X735612638e4e736e4693e459c258977262c0dfc"/>
    <w:p>
      <w:pPr>
        <w:pStyle w:val="Heading2"/>
      </w:pPr>
      <w:r>
        <w:t xml:space="preserve">5. Discussion</w:t>
      </w:r>
    </w:p>
    <w:bookmarkStart w:id="42" w:name="Xdb3d0d0ea2b17533512dc509acb289540c6f5bb"/>
    <w:p>
      <w:pPr>
        <w:pStyle w:val="Heading3"/>
      </w:pPr>
      <w:r>
        <w:t xml:space="preserve">5.1 Resolution of Cross-Study Heterogeneity</w:t>
      </w:r>
    </w:p>
    <w:p>
      <w:pPr>
        <w:pStyle w:val="FirstParagraph"/>
      </w:pPr>
      <w:r>
        <w:t xml:space="preserve">The central finding — an inverted-U with a turning point at approximately 36% foreign sales intensity, robust across 49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2"/>
    <w:bookmarkStart w:id="43"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49-economy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3"/>
    <w:bookmarkStart w:id="44" w:name="X6dd7d6eceb2ff81026d810222fc30c1f86e05e5"/>
    <w:p>
      <w:pPr>
        <w:pStyle w:val="Heading3"/>
      </w:pPr>
      <w:r>
        <w:t xml:space="preserve">5.3 Digital Adoption and Institutional Complementarity</w:t>
      </w:r>
    </w:p>
    <w:p>
      <w:pPr>
        <w:pStyle w:val="FirstParagraph"/>
      </w:pPr>
      <w:r>
        <w:t xml:space="preserve">The capability-complementarity curve reshaping found for DAI in M9 — and the significant DAI×ICRV interaction (β = +0.060, p = .012)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4"/>
    <w:bookmarkStart w:id="45" w:name="X84f38018b3434e120970b4f2e30dde187cbc62e"/>
    <w:p>
      <w:pPr>
        <w:pStyle w:val="Heading3"/>
      </w:pPr>
      <w:r>
        <w:t xml:space="preserve">5.4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internationalisation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5"/>
    <w:bookmarkStart w:id="46" w:name="Xde7edcb3f604b7ff7a62d585547252a5b42f172"/>
    <w:p>
      <w:pPr>
        <w:pStyle w:val="Heading3"/>
      </w:pPr>
      <w:r>
        <w:t xml:space="preserve">5.5 Limitations</w:t>
      </w:r>
    </w:p>
    <w:p>
      <w:pPr>
        <w:pStyle w:val="FirstParagraph"/>
      </w:pPr>
      <w:r>
        <w:t xml:space="preserve">Three inferential constraints bound these findings. First, WBES is a cross-sectional design: the term "performance" 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now covers all 49 ICRV-mapped economies across six regime groups; however, Oman's available wave (2003) predates the digital-capability variables, limiting its contribution to baseline models only. Future waves of the Oman WBES would sharpen Group II estimates.</w:t>
      </w:r>
    </w:p>
    <w:p>
      <w:r>
        <w:pict>
          <v:rect style="width:0;height:1.5pt" o:hralign="center" o:hrstd="t" o:hr="t"/>
        </w:pict>
      </w:r>
    </w:p>
    <w:bookmarkEnd w:id="46"/>
    <w:bookmarkEnd w:id="47"/>
    <w:bookmarkStart w:id="48" w:name="X56025c6d9dbf7520f7a7df11f905cdd09f46e4a"/>
    <w:p>
      <w:pPr>
        <w:pStyle w:val="Heading2"/>
      </w:pPr>
      <w:r>
        <w:t xml:space="preserve">6. Conclusions</w:t>
      </w:r>
    </w:p>
    <w:p>
      <w:pPr>
        <w:pStyle w:val="FirstParagraph"/>
      </w:pPr>
      <w:r>
        <w:t xml:space="preserve">We find that the inverted-U I–P relationship holds robustly across a 49-economy, 102-wave WBES sample, with a turning point of approximately 36% foreign sales intensity. Three conclusions are policy-relevant. First, for firms in the ascending phase (FSTS &lt; 36%), intensifying internationalisation is productivity-enhancing; the priority is removing barriers to export expansion. For firms beyond the turning point, the constraint is not market access but coordination capacity. Second, building technological capability raises the performance level across all FSTS levels without reliably reshaping the curve; policy should target capability building as a baseline performance lever rather than as a curve-shifting intervention. Third, digital adoption is both a universal performance enhancer and a primary curve reshaper: DAI compresses ascending-limb returns and attenuates descending-limb performance decline, with stronger returns in weaker institutional environments (DAI×ICRV, p = .012).</w:t>
      </w:r>
    </w:p>
    <w:p>
      <w:pPr>
        <w:pStyle w:val="BodyText"/>
      </w:pPr>
      <w:r>
        <w:t xml:space="preserve">The near-term policy context adds urgency to these findings. World Bank (2026b) macro monitoring data for Vietnam — the largest ICRV Group IV economy in the sample —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right-side of the inverted-U becomes consequential: firms pushed above their optimal FSTS by earlier export commitments face amplified coordination and input-cost pressures. The ICRV moderation result — that Group IV firms face steeper descending-limb penalties — implies that Vietnamese exporters currently above the 36% FSTS turning point are among the most exposed to macro shocks. Policies promoting digital capability adoption (DAI) can buffer this descent by compressing the descending limb, consistent with our M8/M9 estimates.</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8"/>
    <w:bookmarkStart w:id="73"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49">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0">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1">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2">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3">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4">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5">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56">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57">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8">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59">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0">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1">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2">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3">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4">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5">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6">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67">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68">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69">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0">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1">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2">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2">
        <w:r>
          <w:rPr>
            <w:rStyle w:val="Hyperlink"/>
          </w:rPr>
          <w:t xml:space="preserve">https://www.worldbank.org/ext/en/country/vietnam</w:t>
        </w:r>
      </w:hyperlink>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3"/>
    <w:bookmarkStart w:id="74"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 three-way FSTS×DAI×ICRV=−0.001 (NS), mgr_experience=+0.009**, FSTS×mgr=−0.019†, mgr_female=+0.187***, female_owner=+0.128**.</w:t>
      </w:r>
    </w:p>
    <w:p>
      <w:r>
        <w:pict>
          <v:rect style="width:0;height:1.5pt" o:hralign="center" o:hrstd="t" o:hr="t"/>
        </w:pict>
      </w:r>
    </w:p>
    <w:bookmarkEnd w:id="74"/>
    <w:bookmarkStart w:id="77"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College of Economics, Can Tho University,</w:t>
      </w:r>
      <w:r>
        <w:rPr>
          <w:iCs/>
          <w:i/>
        </w:rPr>
        <w:t xml:space="preserve"> </w:t>
      </w:r>
      <w:hyperlink r:id="rId75">
        <w:r>
          <w:rPr>
            <w:rStyle w:val="Hyperlink"/>
            <w:iCs/>
            <w:i/>
          </w:rPr>
          <w:t xml:space="preserve">patu@ctu.edu.vn</w:t>
        </w:r>
      </w:hyperlink>
      <w:r>
        <w:rPr>
          <w:iCs/>
          <w:i/>
        </w:rPr>
        <w:t xml:space="preserve">, ORCID: 0000-0003-0667-3137</w:t>
      </w:r>
      <w:r>
        <w:br/>
      </w:r>
      <w:r>
        <w:rPr>
          <w:iCs/>
          <w:i/>
        </w:rPr>
        <w:t xml:space="preserve">First author: Do Thuy Huong, Vinh Long University of Technology Education,</w:t>
      </w:r>
      <w:r>
        <w:rPr>
          <w:iCs/>
          <w:i/>
        </w:rPr>
        <w:t xml:space="preserve"> </w:t>
      </w:r>
      <w:hyperlink r:id="rId76">
        <w:r>
          <w:rPr>
            <w:rStyle w:val="Hyperlink"/>
            <w:iCs/>
            <w:i/>
          </w:rPr>
          <w:t xml:space="preserve">huongdt@vlute.edu.vn</w:t>
        </w:r>
      </w:hyperlink>
      <w:r>
        <w:rPr>
          <w:iCs/>
          <w:i/>
        </w:rPr>
        <w:t xml:space="preserve">, ORCID: 0000-0002-7711-2487</w:t>
      </w:r>
    </w:p>
    <w:bookmarkEnd w:id="77"/>
    <w:bookmarkEnd w:id="7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s://doi.org/10.1002/gsj.1028" TargetMode="External" /><Relationship Type="http://schemas.openxmlformats.org/officeDocument/2006/relationships/hyperlink" Id="rId58" Target="https://doi.org/10.1002/smj.2399" TargetMode="External" /><Relationship Type="http://schemas.openxmlformats.org/officeDocument/2006/relationships/hyperlink" Id="rId70" Target="https://doi.org/10.1002/smj.4250050207" TargetMode="External" /><Relationship Type="http://schemas.openxmlformats.org/officeDocument/2006/relationships/hyperlink" Id="rId56" Target="https://doi.org/10.1007/s10869-013-9308-7" TargetMode="External" /><Relationship Type="http://schemas.openxmlformats.org/officeDocument/2006/relationships/hyperlink" Id="rId51" Target="https://doi.org/10.1007/s11187-005-5599-z" TargetMode="External" /><Relationship Type="http://schemas.openxmlformats.org/officeDocument/2006/relationships/hyperlink" Id="rId50" Target="https://doi.org/10.1007/s11575-007-0019-z" TargetMode="External" /><Relationship Type="http://schemas.openxmlformats.org/officeDocument/2006/relationships/hyperlink" Id="rId69" Target="https://doi.org/10.1016/j.jbusres.2019.09.022" TargetMode="External" /><Relationship Type="http://schemas.openxmlformats.org/officeDocument/2006/relationships/hyperlink" Id="rId54" Target="https://doi.org/10.1016/j.jwb.2007.06.003" TargetMode="External" /><Relationship Type="http://schemas.openxmlformats.org/officeDocument/2006/relationships/hyperlink" Id="rId68" Target="https://doi.org/10.1016/j.jwb.2007.11.009" TargetMode="External" /><Relationship Type="http://schemas.openxmlformats.org/officeDocument/2006/relationships/hyperlink" Id="rId55" Target="https://doi.org/10.1016/j.jwb.2017.11.003" TargetMode="External" /><Relationship Type="http://schemas.openxmlformats.org/officeDocument/2006/relationships/hyperlink" Id="rId62" Target="https://doi.org/10.1057/jibs.2009.24" TargetMode="External" /><Relationship Type="http://schemas.openxmlformats.org/officeDocument/2006/relationships/hyperlink" Id="rId67" Target="https://doi.org/10.1057/jibs.2016.7" TargetMode="External" /><Relationship Type="http://schemas.openxmlformats.org/officeDocument/2006/relationships/hyperlink" Id="rId53" Target="https://doi.org/10.1057/palgrave.jibs.8400003" TargetMode="External" /><Relationship Type="http://schemas.openxmlformats.org/officeDocument/2006/relationships/hyperlink" Id="rId57" Target="https://doi.org/10.1057/palgrave.jibs.8490065" TargetMode="External" /><Relationship Type="http://schemas.openxmlformats.org/officeDocument/2006/relationships/hyperlink" Id="rId61" Target="https://doi.org/10.1057/palgrave.jibs.8490676" TargetMode="External" /><Relationship Type="http://schemas.openxmlformats.org/officeDocument/2006/relationships/hyperlink" Id="rId65" Target="https://doi.org/10.1080/00031305.2000.10474549" TargetMode="External" /><Relationship Type="http://schemas.openxmlformats.org/officeDocument/2006/relationships/hyperlink" Id="rId64" Target="https://doi.org/10.1111/j.1468-0084.2009.00569.x" TargetMode="External" /><Relationship Type="http://schemas.openxmlformats.org/officeDocument/2006/relationships/hyperlink" Id="rId49" Target="https://doi.org/10.1177/014920639101700108" TargetMode="External" /><Relationship Type="http://schemas.openxmlformats.org/officeDocument/2006/relationships/hyperlink" Id="rId66" Target="https://doi.org/10.2307/20159604" TargetMode="External" /><Relationship Type="http://schemas.openxmlformats.org/officeDocument/2006/relationships/hyperlink" Id="rId52" Target="https://doi.org/10.2307/2393553" TargetMode="External" /><Relationship Type="http://schemas.openxmlformats.org/officeDocument/2006/relationships/hyperlink" Id="rId60" Target="https://doi.org/10.5465/amr.1984.4277628" TargetMode="External" /><Relationship Type="http://schemas.openxmlformats.org/officeDocument/2006/relationships/hyperlink" Id="rId59" Target="https://doi.org/10.5465/amr.2007.24345254" TargetMode="External" /><Relationship Type="http://schemas.openxmlformats.org/officeDocument/2006/relationships/hyperlink" Id="rId71" Target="https://www.enterprisesurveys.org" TargetMode="External" /><Relationship Type="http://schemas.openxmlformats.org/officeDocument/2006/relationships/hyperlink" Id="rId72" Target="https://www.worldbank.org/ext/en/country/vietnam" TargetMode="External" /><Relationship Type="http://schemas.openxmlformats.org/officeDocument/2006/relationships/hyperlink" Id="rId76" Target="mailto:huongdt@vlute.edu.vn" TargetMode="External" /><Relationship Type="http://schemas.openxmlformats.org/officeDocument/2006/relationships/hyperlink" Id="rId75"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002/gsj.1028" TargetMode="External" /><Relationship Type="http://schemas.openxmlformats.org/officeDocument/2006/relationships/hyperlink" Id="rId58" Target="https://doi.org/10.1002/smj.2399" TargetMode="External" /><Relationship Type="http://schemas.openxmlformats.org/officeDocument/2006/relationships/hyperlink" Id="rId70" Target="https://doi.org/10.1002/smj.4250050207" TargetMode="External" /><Relationship Type="http://schemas.openxmlformats.org/officeDocument/2006/relationships/hyperlink" Id="rId56" Target="https://doi.org/10.1007/s10869-013-9308-7" TargetMode="External" /><Relationship Type="http://schemas.openxmlformats.org/officeDocument/2006/relationships/hyperlink" Id="rId51" Target="https://doi.org/10.1007/s11187-005-5599-z" TargetMode="External" /><Relationship Type="http://schemas.openxmlformats.org/officeDocument/2006/relationships/hyperlink" Id="rId50" Target="https://doi.org/10.1007/s11575-007-0019-z" TargetMode="External" /><Relationship Type="http://schemas.openxmlformats.org/officeDocument/2006/relationships/hyperlink" Id="rId69" Target="https://doi.org/10.1016/j.jbusres.2019.09.022" TargetMode="External" /><Relationship Type="http://schemas.openxmlformats.org/officeDocument/2006/relationships/hyperlink" Id="rId54" Target="https://doi.org/10.1016/j.jwb.2007.06.003" TargetMode="External" /><Relationship Type="http://schemas.openxmlformats.org/officeDocument/2006/relationships/hyperlink" Id="rId68" Target="https://doi.org/10.1016/j.jwb.2007.11.009" TargetMode="External" /><Relationship Type="http://schemas.openxmlformats.org/officeDocument/2006/relationships/hyperlink" Id="rId55" Target="https://doi.org/10.1016/j.jwb.2017.11.003" TargetMode="External" /><Relationship Type="http://schemas.openxmlformats.org/officeDocument/2006/relationships/hyperlink" Id="rId62" Target="https://doi.org/10.1057/jibs.2009.24" TargetMode="External" /><Relationship Type="http://schemas.openxmlformats.org/officeDocument/2006/relationships/hyperlink" Id="rId67" Target="https://doi.org/10.1057/jibs.2016.7" TargetMode="External" /><Relationship Type="http://schemas.openxmlformats.org/officeDocument/2006/relationships/hyperlink" Id="rId53" Target="https://doi.org/10.1057/palgrave.jibs.8400003" TargetMode="External" /><Relationship Type="http://schemas.openxmlformats.org/officeDocument/2006/relationships/hyperlink" Id="rId57" Target="https://doi.org/10.1057/palgrave.jibs.8490065" TargetMode="External" /><Relationship Type="http://schemas.openxmlformats.org/officeDocument/2006/relationships/hyperlink" Id="rId61" Target="https://doi.org/10.1057/palgrave.jibs.8490676" TargetMode="External" /><Relationship Type="http://schemas.openxmlformats.org/officeDocument/2006/relationships/hyperlink" Id="rId65" Target="https://doi.org/10.1080/00031305.2000.10474549" TargetMode="External" /><Relationship Type="http://schemas.openxmlformats.org/officeDocument/2006/relationships/hyperlink" Id="rId64" Target="https://doi.org/10.1111/j.1468-0084.2009.00569.x" TargetMode="External" /><Relationship Type="http://schemas.openxmlformats.org/officeDocument/2006/relationships/hyperlink" Id="rId49" Target="https://doi.org/10.1177/014920639101700108" TargetMode="External" /><Relationship Type="http://schemas.openxmlformats.org/officeDocument/2006/relationships/hyperlink" Id="rId66" Target="https://doi.org/10.2307/20159604" TargetMode="External" /><Relationship Type="http://schemas.openxmlformats.org/officeDocument/2006/relationships/hyperlink" Id="rId52" Target="https://doi.org/10.2307/2393553" TargetMode="External" /><Relationship Type="http://schemas.openxmlformats.org/officeDocument/2006/relationships/hyperlink" Id="rId60" Target="https://doi.org/10.5465/amr.1984.4277628" TargetMode="External" /><Relationship Type="http://schemas.openxmlformats.org/officeDocument/2006/relationships/hyperlink" Id="rId59" Target="https://doi.org/10.5465/amr.2007.24345254" TargetMode="External" /><Relationship Type="http://schemas.openxmlformats.org/officeDocument/2006/relationships/hyperlink" Id="rId71" Target="https://www.enterprisesurveys.org" TargetMode="External" /><Relationship Type="http://schemas.openxmlformats.org/officeDocument/2006/relationships/hyperlink" Id="rId72" Target="https://www.worldbank.org/ext/en/country/vietnam" TargetMode="External" /><Relationship Type="http://schemas.openxmlformats.org/officeDocument/2006/relationships/hyperlink" Id="rId76" Target="mailto:huongdt@vlute.edu.vn" TargetMode="External" /><Relationship Type="http://schemas.openxmlformats.org/officeDocument/2006/relationships/hyperlink" Id="rId75"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2026-05-16T10:01:38Z</dcterms:created>
  <dcterms:modified xsi:type="dcterms:W3CDTF">2026-05-16T10:01:38Z</dcterms:modified>
</cp:coreProperties>
</file>

<file path=docProps/custom.xml><?xml version="1.0" encoding="utf-8"?>
<Properties xmlns="http://schemas.openxmlformats.org/officeDocument/2006/custom-properties" xmlns:vt="http://schemas.openxmlformats.org/officeDocument/2006/docPropsVTypes"/>
</file>