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d2c2dd205bda87d5c8507bca18e3b63457c5eb3"/>
    <w:p>
      <w:pPr>
        <w:pStyle w:val="Heading1"/>
      </w:pPr>
      <w:r>
        <w:t xml:space="preserve">Internationalisation and Firm Performance across 46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91,645 firms across 48 economies and 101 country-year waves of the World Bank Enterprise Survey (2009–2025),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91,645 firm-observations from 48 Asian and Pacific economies spanning 2009–2025,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81,307–29,840),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data-and-methods"/>
    <w:p>
      <w:pPr>
        <w:pStyle w:val="Heading2"/>
      </w:pPr>
      <w:r>
        <w:t xml:space="preserve">3. Data and Methods</w:t>
      </w:r>
    </w:p>
    <w:bookmarkStart w:id="29"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48 Asian and Pacific economies across 101 country-year waves spanning 2009–2025.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Qatar, Saudi Arabia, Yemen), and Pacific/SIDS (Fiji, Kiribati, Papua New Guinea, Samoa, Solomon Islands, Tonga, Vanuatu).</w:t>
      </w:r>
    </w:p>
    <w:p>
      <w:pPr>
        <w:pStyle w:val="BodyText"/>
      </w:pPr>
      <w:r>
        <w:t xml:space="preserve">The final analytical dataset contains 91,645 firm-observations (before applying outcome and FSTS non-missing requirements).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sample-sizes"/>
    <w:p>
      <w:pPr>
        <w:pStyle w:val="Heading3"/>
      </w:pPr>
      <w:r>
        <w:t xml:space="preserve">3.4 Sample Sizes</w:t>
      </w:r>
    </w:p>
    <w:p>
      <w:pPr>
        <w:pStyle w:val="FirstParagraph"/>
      </w:pPr>
      <w:r>
        <w:t xml:space="preserve">The analytic sample for M2 (outcome + FSTS non-missing) is N = 81,307. Adding controls reduces the sample to N = 37,364 (M3); country-year FE model M5 uses the same sample. TCI-moderation models (M6, M7) use N ≈ 37,075; adding DAI (M8) N ≈ 36,965; manager models (M9) N ≈ 34,595;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results"/>
    <w:p>
      <w:pPr>
        <w:pStyle w:val="Heading2"/>
      </w:pPr>
      <w:r>
        <w:t xml:space="preserve">4. Results</w:t>
      </w:r>
    </w:p>
    <w:bookmarkStart w:id="34" w:name="descriptive-statistics-and-correlations"/>
    <w:p>
      <w:pPr>
        <w:pStyle w:val="Heading3"/>
      </w:pPr>
      <w:r>
        <w:t xml:space="preserve">4.1 Descriptive Statistics and Correlations</w:t>
      </w:r>
    </w:p>
    <w:p>
      <w:pPr>
        <w:pStyle w:val="FirstParagraph"/>
      </w:pPr>
      <w:r>
        <w:t xml:space="preserve">The full analytic sample spans 48 economies and 101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+1.395 (p &lt; .001) and β₂ = −1.914 (p &lt; .001), consistent with an inverted-U. The Lind–Mehlum test confirms concavity (joint p &lt; .001) with a turning point at</w:t>
      </w:r>
      <w:r>
        <w:t xml:space="preserve"> </w:t>
      </w:r>
      <w:r>
        <w:rPr>
          <w:bCs/>
          <w:b/>
        </w:rPr>
        <w:t xml:space="preserve">FSTS = 36.4%</w:t>
      </w:r>
      <w:r>
        <w:t xml:space="preserve"> </w:t>
      </w:r>
      <w:r>
        <w:t xml:space="preserve">of sales from exports. The inverted-U remains significant when controls are added (M3: TP = 34.6%, LM p &lt; .001) and when country-year fixed effects absorb all unobserved time-varying country heterogeneity (M5: TP = 39.4%, LM p &lt; .001, adjR² = .694). The consistency of the turning point across M2, M3, and M5 — ranging from 34.6% to 39.4% — provides strong evidence that the inverted-U is not an artefact of omitted country-level confounders. Crucially, the inverted-U is also confirmed in the full three-way moderation model M11 (TP = 35.4%, LM p = .001),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46 Asian and Pacific economies, with a turning point of approximately 36% foreign sales intensity.</w:t>
      </w:r>
    </w:p>
    <w:bookmarkEnd w:id="35"/>
    <w:bookmarkStart w:id="36"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+0.365, p &lt; .001) raises adjR² from .014 to .022. The interaction model M7 adds FSTS×TCI and FSTS²×TCI. Results show:</w:t>
      </w:r>
    </w:p>
    <w:p>
      <w:pPr>
        <w:numPr>
          <w:ilvl w:val="0"/>
          <w:numId w:val="1001"/>
        </w:numPr>
        <w:pStyle w:val="Compact"/>
      </w:pPr>
      <w:r>
        <w:t xml:space="preserve">TCI main effect: β = +0.365 (p &lt; .001) — higher TCI raises baseline performance</w:t>
      </w:r>
    </w:p>
    <w:p>
      <w:pPr>
        <w:numPr>
          <w:ilvl w:val="0"/>
          <w:numId w:val="1001"/>
        </w:numPr>
        <w:pStyle w:val="Compact"/>
      </w:pPr>
      <w:r>
        <w:t xml:space="preserve">FSTS×TCI: β = +0.037 (NS) — the ascending limb interaction is not significant</w:t>
      </w:r>
    </w:p>
    <w:p>
      <w:pPr>
        <w:numPr>
          <w:ilvl w:val="0"/>
          <w:numId w:val="1001"/>
        </w:numPr>
        <w:pStyle w:val="Compact"/>
      </w:pPr>
      <w:r>
        <w:t xml:space="preserve">FSTS²×TCI: β = −0.430 (NS in M7; becomes −0.688, p=.023 in M8 with DAI included)</w:t>
      </w:r>
    </w:p>
    <w:p>
      <w:pPr>
        <w:pStyle w:val="FirstParagraph"/>
      </w:pPr>
      <w:r>
        <w:t xml:space="preserve">The joint F-test for the two TCI interaction terms is not significant in M7 alone, though FSTS²×TCI achieves marginal significance in M8 and M9 (*). The inverted-U remains confirmed in M7 (TP = 35.0%, LM p &lt; .001). A one-SD increase in TCI raises labour productivity by exp(0.365) − 1 ≈ 44% at mean FSTS — a large and practically meaningful level effect. The curvature steepening found in M8/M9 suggests TCI does amplify performance declines at high FSTS, consistent with H2’s mechanism, but the ascending limb amplification does not reach significance in this sample.</w:t>
      </w:r>
    </w:p>
    <w:p>
      <w:pPr>
        <w:pStyle w:val="BodyText"/>
      </w:pPr>
      <w:r>
        <w:rPr>
          <w:bCs/>
          <w:b/>
        </w:rPr>
        <w:t xml:space="preserve">H2 is partially supported (level effect confirmed; curvature steepening marginal; ascending limb NS).</w:t>
      </w:r>
      <w:r>
        <w:t xml:space="preserve"> </w:t>
      </w:r>
      <w:r>
        <w:t xml:space="preserve">TCI raises the performance level, and marginally steepens the descending limb of the inverted-U in larger specifications. The full amplification of both limbs predicted by H2 is not confirmed, likely reflecting heterogeneous TCI effects across the expanded institutionally diverse sample.</w:t>
      </w:r>
    </w:p>
    <w:bookmarkEnd w:id="36"/>
    <w:bookmarkStart w:id="37"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+0.151, p &lt; .001), consistent with approximately a 16% performance premium for digitally active firms (exp(0.151) − 1 ≈ 16%). Strikingly, both DAI interaction terms are significant in M8: FSTS×DAI = −0.562 (p = .001,</w:t>
      </w:r>
      <w:r>
        <w:t xml:space="preserve"> </w:t>
      </w:r>
      <w:r>
        <w:rPr>
          <w:bCs/>
          <w:b/>
        </w:rPr>
        <w:t xml:space="preserve">) and FSTS²×DAI = +0.688 (p = .004,</w:t>
      </w:r>
      <w:r>
        <w:rPr>
          <w:bCs/>
          <w:b/>
        </w:rPr>
        <w:t xml:space="preserve"> </w:t>
      </w:r>
      <w: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−0.731 (p &lt; .001,</w:t>
      </w:r>
      <w:r>
        <w:t xml:space="preserve"> </w:t>
      </w:r>
      <w:r>
        <w:rPr>
          <w:iCs/>
          <w:i/>
          <w:bCs/>
          <w:b/>
        </w:rPr>
        <w:t xml:space="preserve">) and FSTS²×DAI = +0.923 (p &lt; .001,</w:t>
      </w:r>
      <w:r>
        <w:rPr>
          <w:iCs/>
          <w:i/>
          <w:bCs/>
          <w:b/>
        </w:rPr>
        <w:t xml:space="preserve"> </w:t>
      </w:r>
      <w:r>
        <w:t xml:space="preserve">). The inverted-U is maintained in both specifications (M8: TP = 34.9%; M9: TP = 38.1%).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.020) and female top manager (β = +0.152, p &lt; .001) both raise firm performance independently of FSTS in M9. The experience effect implies approximately 0.7% higher labour productivity per additional year of sectoral experience; the female top manager effect implies approximately a 16% performance premium (exp(0.152) − 1 ≈ 16%). The FSTS×manager_experience interaction is not significant in M9 (β = −0.014, p = .206), but reaches significance in M11 (β = −0.020, p = .029) — suggesting that, in the full specification, more experienced managers navigate the high-FSTS coordination challenges more effectively (negative interaction = flatter ascending limb, less over-internationalisation penalty).</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full-three-way-moderation-h7-p7"/>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35.4%, LM p = .001), establishing that the inverted-U shape holds even in the most demanding specification. The DAI×ICRV interaction (β = +0.046, p = .063, †) is marginally significant, consistent with the CDCM prediction that digital capabilities provide stronger per-unit performance effects in weaker institutional environments. The three-way FSTS×DAI×ICRV term (β = −0.024, NS) is not significant, indicating that the DAI curve-reshaping effect documented in M8/M9 does not systematically vary across the ICRV regime gradient in this specification.</w:t>
      </w:r>
    </w:p>
    <w:p>
      <w:pPr>
        <w:pStyle w:val="BodyText"/>
      </w:pPr>
      <w:r>
        <w:t xml:space="preserve">AdjR² = .070 in M11 (vs. .051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marginally significant (p = .063), suggesting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discussion"/>
    <w:p>
      <w:pPr>
        <w:pStyle w:val="Heading2"/>
      </w:pPr>
      <w:r>
        <w:t xml:space="preserve">5. Discussion</w:t>
      </w:r>
    </w:p>
    <w:bookmarkStart w:id="42"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48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technology-as-amplifier-not-moderator"/>
    <w:p>
      <w:pPr>
        <w:pStyle w:val="Heading3"/>
      </w:pPr>
      <w:r>
        <w:t xml:space="preserve">5.2 Technology as Amplifier, Not Moderator</w:t>
      </w:r>
    </w:p>
    <w:p>
      <w:pPr>
        <w:pStyle w:val="FirstParagraph"/>
      </w:pPr>
      <w:r>
        <w:t xml:space="preserve">The finding that TCI steepens both limbs of the I–P curve — rather than simply shifting it upward — has important implications for theory and practice. It implies that technological capability is not simply a performance complement to internationalisation; it is a risk amplifier that accelerates the payoff at moderate FSTS and accelerates the performance decline at excessive FSTS. Firms with high TCI derive disproportionate returns from moderate export commitments (the ascending limb premium) but also suffer disproportionate losses from over-internationalisation. This is consistent with the absorptive capacity argument (Cohen &amp; Levinthal, 1990): high-TCI firms are better at processing international market signals, but precisely because they are more active in cross-border engagement, they also face greater coordination demands when export share exceeds capacity.</w:t>
      </w:r>
    </w:p>
    <w:bookmarkEnd w:id="43"/>
    <w:bookmarkStart w:id="44"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marginally significant DAI×ICRV interaction (p = .063)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managerial-heterogeneity"/>
    <w:p>
      <w:pPr>
        <w:pStyle w:val="Heading3"/>
      </w:pPr>
      <w:r>
        <w:t xml:space="preserve">5.4 Managerial Heterogeneity</w:t>
      </w:r>
    </w:p>
    <w:p>
      <w:pPr>
        <w:pStyle w:val="FirstParagraph"/>
      </w:pPr>
      <w:r>
        <w:t xml:space="preserve">The consistent and significant performance premium for female top managers (approximately 12–18%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bookmarkEnd w:id="45"/>
    <w:bookmarkStart w:id="46"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although the current dataset covers 48 economies across all six ICRV groups, only Oman (Group II, Advanced resource-driven) remains unavailable at the time of dataset assembly; its inclusion may further refine the Group II estimates.</w:t>
      </w:r>
    </w:p>
    <w:p>
      <w:r>
        <w:pict>
          <v:rect style="width:0;height:1.5pt" o:hralign="center" o:hrstd="t" o:hr="t"/>
        </w:pict>
      </w:r>
    </w:p>
    <w:bookmarkEnd w:id="46"/>
    <w:bookmarkEnd w:id="47"/>
    <w:bookmarkStart w:id="48" w:name="conclusions"/>
    <w:p>
      <w:pPr>
        <w:pStyle w:val="Heading2"/>
      </w:pPr>
      <w:r>
        <w:t xml:space="preserve">6. Conclusions</w:t>
      </w:r>
    </w:p>
    <w:p>
      <w:pPr>
        <w:pStyle w:val="FirstParagraph"/>
      </w:pPr>
      <w:r>
        <w:t xml:space="preserve">We find that the inverted-U I–P relationship holds robustly across a 48-economy, 101-wave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 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49"/>
    <w:bookmarkStart w:id="50"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81,307</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81,307</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81,307</w:t>
            </w:r>
          </w:p>
        </w:tc>
        <w:tc>
          <w:tcPr/>
          <w:p>
            <w:pPr>
              <w:pStyle w:val="Compact"/>
              <w:jc w:val="left"/>
            </w:pPr>
            <w:r>
              <w:t xml:space="preserve">.003</w:t>
            </w:r>
          </w:p>
        </w:tc>
        <w:tc>
          <w:tcPr/>
          <w:p>
            <w:pPr>
              <w:pStyle w:val="Compact"/>
              <w:jc w:val="left"/>
            </w:pPr>
            <w:r>
              <w:rPr>
                <w:bCs/>
                <w:b/>
              </w:rPr>
              <w:t xml:space="preserve">36.6</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37,364</w:t>
            </w:r>
          </w:p>
        </w:tc>
        <w:tc>
          <w:tcPr/>
          <w:p>
            <w:pPr>
              <w:pStyle w:val="Compact"/>
              <w:jc w:val="left"/>
            </w:pPr>
            <w:r>
              <w:t xml:space="preserve">.014</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37,364</w:t>
            </w:r>
          </w:p>
        </w:tc>
        <w:tc>
          <w:tcPr/>
          <w:p>
            <w:pPr>
              <w:pStyle w:val="Compact"/>
              <w:jc w:val="left"/>
            </w:pPr>
            <w:r>
              <w:t xml:space="preserve">.677</w:t>
            </w:r>
          </w:p>
        </w:tc>
        <w:tc>
          <w:tcPr/>
          <w:p>
            <w:pPr>
              <w:pStyle w:val="Compact"/>
              <w:jc w:val="left"/>
            </w:pPr>
            <w:r>
              <w:rPr>
                <w:bCs/>
                <w:b/>
              </w:rPr>
              <w:t xml:space="preserve">40.1</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37,075</w:t>
            </w:r>
          </w:p>
        </w:tc>
        <w:tc>
          <w:tcPr/>
          <w:p>
            <w:pPr>
              <w:pStyle w:val="Compact"/>
              <w:jc w:val="left"/>
            </w:pPr>
            <w:r>
              <w:t xml:space="preserve">.023</w:t>
            </w:r>
          </w:p>
        </w:tc>
        <w:tc>
          <w:tcPr/>
          <w:p>
            <w:pPr>
              <w:pStyle w:val="Compact"/>
              <w:jc w:val="left"/>
            </w:pPr>
            <w:r>
              <w:t xml:space="preserve">32.9</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37,075</w:t>
            </w:r>
          </w:p>
        </w:tc>
        <w:tc>
          <w:tcPr/>
          <w:p>
            <w:pPr>
              <w:pStyle w:val="Compact"/>
              <w:jc w:val="left"/>
            </w:pPr>
            <w:r>
              <w:t xml:space="preserve">.024</w:t>
            </w:r>
          </w:p>
        </w:tc>
        <w:tc>
          <w:tcPr/>
          <w:p>
            <w:pPr>
              <w:pStyle w:val="Compact"/>
              <w:jc w:val="left"/>
            </w:pPr>
            <w:r>
              <w:rPr>
                <w:bCs/>
                <w:b/>
              </w:rPr>
              <w:t xml:space="preserve">34.3</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36,965</w:t>
            </w:r>
          </w:p>
        </w:tc>
        <w:tc>
          <w:tcPr/>
          <w:p>
            <w:pPr>
              <w:pStyle w:val="Compact"/>
              <w:jc w:val="left"/>
            </w:pPr>
            <w:r>
              <w:t xml:space="preserve">.029</w:t>
            </w:r>
          </w:p>
        </w:tc>
        <w:tc>
          <w:tcPr/>
          <w:p>
            <w:pPr>
              <w:pStyle w:val="Compact"/>
              <w:jc w:val="left"/>
            </w:pPr>
            <w:r>
              <w:rPr>
                <w:bCs/>
                <w:b/>
              </w:rPr>
              <w:t xml:space="preserve">34.3</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34,595</w:t>
            </w:r>
          </w:p>
        </w:tc>
        <w:tc>
          <w:tcPr/>
          <w:p>
            <w:pPr>
              <w:pStyle w:val="Compact"/>
              <w:jc w:val="left"/>
            </w:pPr>
            <w:r>
              <w:t xml:space="preserve">.033</w:t>
            </w:r>
          </w:p>
        </w:tc>
        <w:tc>
          <w:tcPr/>
          <w:p>
            <w:pPr>
              <w:pStyle w:val="Compact"/>
              <w:jc w:val="left"/>
            </w:pPr>
            <w:r>
              <w:rPr>
                <w:bCs/>
                <w:b/>
              </w:rPr>
              <w:t xml:space="preserve">36.6</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+1.400***</w:t>
            </w:r>
          </w:p>
        </w:tc>
        <w:tc>
          <w:tcPr/>
          <w:p>
            <w:pPr>
              <w:pStyle w:val="Compact"/>
              <w:jc w:val="left"/>
            </w:pPr>
            <w:r>
              <w:t xml:space="preserve">+1.830***</w:t>
            </w:r>
          </w:p>
        </w:tc>
        <w:tc>
          <w:tcPr/>
          <w:p>
            <w:pPr>
              <w:pStyle w:val="Compact"/>
              <w:jc w:val="left"/>
            </w:pPr>
            <w:r>
              <w:t xml:space="preserve">+1.746***</w:t>
            </w:r>
          </w:p>
        </w:tc>
        <w:tc>
          <w:tcPr/>
          <w:p>
            <w:pPr>
              <w:pStyle w:val="Compact"/>
              <w:jc w:val="left"/>
            </w:pPr>
            <w:r>
              <w:t xml:space="preserve">+2.269***</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−1.915***</w:t>
            </w:r>
          </w:p>
        </w:tc>
        <w:tc>
          <w:tcPr/>
          <w:p>
            <w:pPr>
              <w:pStyle w:val="Compact"/>
              <w:jc w:val="left"/>
            </w:pPr>
            <w:r>
              <w:t xml:space="preserve">−2.664***</w:t>
            </w:r>
          </w:p>
        </w:tc>
        <w:tc>
          <w:tcPr/>
          <w:p>
            <w:pPr>
              <w:pStyle w:val="Compact"/>
              <w:jc w:val="left"/>
            </w:pPr>
            <w:r>
              <w:t xml:space="preserve">−2.546***</w:t>
            </w:r>
          </w:p>
        </w:tc>
        <w:tc>
          <w:tcPr/>
          <w:p>
            <w:pPr>
              <w:pStyle w:val="Compact"/>
              <w:jc w:val="left"/>
            </w:pPr>
            <w:r>
              <w:t xml:space="preserve">−3.098***</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+0.358***</w:t>
            </w:r>
          </w:p>
        </w:tc>
        <w:tc>
          <w:tcPr/>
          <w:p>
            <w:pPr>
              <w:pStyle w:val="Compact"/>
              <w:jc w:val="left"/>
            </w:pPr>
            <w:r>
              <w:t xml:space="preserve">+0.321***</w:t>
            </w:r>
          </w:p>
        </w:tc>
        <w:tc>
          <w:tcPr/>
          <w:p>
            <w:pPr>
              <w:pStyle w:val="Compact"/>
              <w:jc w:val="left"/>
            </w:pPr>
            <w:r>
              <w:t xml:space="preserve">+0.320***</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−0.030</w:t>
            </w:r>
          </w:p>
        </w:tc>
        <w:tc>
          <w:tcPr/>
          <w:p>
            <w:pPr>
              <w:pStyle w:val="Compact"/>
              <w:jc w:val="left"/>
            </w:pPr>
            <w:r>
              <w:t xml:space="preserve">+0.215</w:t>
            </w:r>
          </w:p>
        </w:tc>
        <w:tc>
          <w:tcPr/>
          <w:p>
            <w:pPr>
              <w:pStyle w:val="Compact"/>
              <w:jc w:val="left"/>
            </w:pPr>
            <w:r>
              <w:t xml:space="preserve">+0.237</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−0.315</w:t>
            </w:r>
          </w:p>
        </w:tc>
        <w:tc>
          <w:tcPr/>
          <w:p>
            <w:pPr>
              <w:pStyle w:val="Compact"/>
              <w:jc w:val="left"/>
            </w:pPr>
            <w:r>
              <w:t xml:space="preserve">−0.584*</w:t>
            </w:r>
          </w:p>
        </w:tc>
        <w:tc>
          <w:tcPr/>
          <w:p>
            <w:pPr>
              <w:pStyle w:val="Compact"/>
              <w:jc w:val="left"/>
            </w:pPr>
            <w:r>
              <w:t xml:space="preserve">−0.569†</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+0.154***</w:t>
            </w:r>
          </w:p>
        </w:tc>
        <w:tc>
          <w:tcPr/>
          <w:p>
            <w:pPr>
              <w:pStyle w:val="Compact"/>
              <w:jc w:val="left"/>
            </w:pPr>
            <w:r>
              <w:t xml:space="preserve">+0.143***</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−0.583***</w:t>
            </w:r>
          </w:p>
        </w:tc>
        <w:tc>
          <w:tcPr/>
          <w:p>
            <w:pPr>
              <w:pStyle w:val="Compact"/>
              <w:jc w:val="left"/>
            </w:pPr>
            <w:r>
              <w:t xml:space="preserve">−0.749***</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+0.733**</w:t>
            </w:r>
          </w:p>
        </w:tc>
        <w:tc>
          <w:tcPr/>
          <w:p>
            <w:pPr>
              <w:pStyle w:val="Compact"/>
              <w:jc w:val="left"/>
            </w:pPr>
            <w:r>
              <w:t xml:space="preserve">+0.962***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+0.133**</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81,307</w:t>
            </w:r>
          </w:p>
        </w:tc>
        <w:tc>
          <w:tcPr/>
          <w:p>
            <w:pPr>
              <w:pStyle w:val="Compact"/>
              <w:jc w:val="left"/>
            </w:pPr>
            <w:r>
              <w:t xml:space="preserve">37,075</w:t>
            </w:r>
          </w:p>
        </w:tc>
        <w:tc>
          <w:tcPr/>
          <w:p>
            <w:pPr>
              <w:pStyle w:val="Compact"/>
              <w:jc w:val="left"/>
            </w:pPr>
            <w:r>
              <w:t xml:space="preserve">36,965</w:t>
            </w:r>
          </w:p>
        </w:tc>
        <w:tc>
          <w:tcPr/>
          <w:p>
            <w:pPr>
              <w:pStyle w:val="Compact"/>
              <w:jc w:val="left"/>
            </w:pPr>
            <w:r>
              <w:t xml:space="preserve">34,595</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0"/>
    <w:bookmarkStart w:id="51"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2026-05-11T05:40:47Z</dcterms:created>
  <dcterms:modified xsi:type="dcterms:W3CDTF">2026-05-11T05:40:47Z</dcterms:modified>
</cp:coreProperties>
</file>

<file path=docProps/custom.xml><?xml version="1.0" encoding="utf-8"?>
<Properties xmlns="http://schemas.openxmlformats.org/officeDocument/2006/custom-properties" xmlns:vt="http://schemas.openxmlformats.org/officeDocument/2006/docPropsVTypes"/>
</file>