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highlights"/>
    <w:p>
      <w:pPr>
        <w:pStyle w:val="Heading2"/>
      </w:pPr>
      <w:r>
        <w:t xml:space="preserve">Highlights</w:t>
      </w:r>
    </w:p>
    <w:p>
      <w:pPr>
        <w:numPr>
          <w:ilvl w:val="0"/>
          <w:numId w:val="1001"/>
        </w:numPr>
        <w:pStyle w:val="Compact"/>
      </w:pPr>
      <w:r>
        <w:t xml:space="preserve">First firm-level test of the Forced Internationalization Penalty in Pacific SIDS.</w:t>
      </w:r>
    </w:p>
    <w:p>
      <w:pPr>
        <w:numPr>
          <w:ilvl w:val="0"/>
          <w:numId w:val="1001"/>
        </w:numPr>
        <w:pStyle w:val="Compact"/>
      </w:pPr>
      <w:r>
        <w:t xml:space="preserve">Internationalization is monotone-negative for productivity (β = −0.404, p = .032).</w:t>
      </w:r>
    </w:p>
    <w:p>
      <w:pPr>
        <w:numPr>
          <w:ilvl w:val="0"/>
          <w:numId w:val="1001"/>
        </w:numPr>
        <w:pStyle w:val="Compact"/>
      </w:pPr>
      <w:r>
        <w:t xml:space="preserve">The quadratic term is null: no observable turning point in the data range.</w:t>
      </w:r>
    </w:p>
    <w:p>
      <w:pPr>
        <w:numPr>
          <w:ilvl w:val="0"/>
          <w:numId w:val="1001"/>
        </w:numPr>
        <w:pStyle w:val="Compact"/>
      </w:pPr>
      <w:r>
        <w:t xml:space="preserve">Technological capability and digital adoption do not override the penalty.</w:t>
      </w:r>
    </w:p>
    <w:p>
      <w:pPr>
        <w:numPr>
          <w:ilvl w:val="0"/>
          <w:numId w:val="1001"/>
        </w:numPr>
        <w:pStyle w:val="Compact"/>
      </w:pPr>
      <w:r>
        <w:t xml:space="preserve">Shift I–P framing from institutional moderation to institutional determination.</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conventional inverted-U between internationalization intensity and firm performance rests on three structural prerequisites: a viable domestic market, manageable trade costs, and functional institutions. When all three are absent at once, as in Pacific Small Island Developing States (SIDS), the non-linear pattern collapses into a monotone negative relationship, which we term the Forced Internationalization Penalty (FIP): not a transient phase-1 learning cost, but a persistent structural condition arising from the compulsion to export despite systemic disadvantage. Using World Bank Enterprise Survey data from 1,469 firms across nine Pacific SIDS (2009–2025), internationalization intensity is robustly negatively associated with labour productivity (</w:t>
      </w:r>
      <m:oMath>
        <m:r>
          <m:t>β</m:t>
        </m:r>
      </m:oMath>
      <w:r>
        <w:t xml:space="preserve"> </w:t>
      </w:r>
      <w:r>
        <w:t xml:space="preserve">= −0.404, p = .032, country-and-year fixed effects) with no quadratic curvature. Technological capability and digital adoption, significant moderators in mainland Asia, are null here. These findings reframe the inverted-U as conditional rather than universal and identify boundary conditions for institutional moderation theory.</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We position FIP as a structural boundary condition rather than a peripheral anomaly. The standard inverted-U describes</w:t>
      </w:r>
      <w:r>
        <w:t xml:space="preserve"> </w:t>
      </w:r>
      <w:r>
        <w:rPr>
          <w:iCs/>
          <w:i/>
        </w:rPr>
        <w:t xml:space="preserve">internationalization-to-scale</w:t>
      </w:r>
      <w:r>
        <w:t xml:space="preserve">: in strong-institution economies, exporting is a profit-optimizing choice, and the descending limb arrives only at a very late turning point because a viable home base, manageable trade costs, and functional institutions allow firms to appropriate scale and learning gains. FIP describes the inverse logic,</w:t>
      </w:r>
      <w:r>
        <w:t xml:space="preserve"> </w:t>
      </w:r>
      <w:r>
        <w:rPr>
          <w:iCs/>
          <w:i/>
        </w:rPr>
        <w:t xml:space="preserve">internationalization-to-survive</w:t>
      </w:r>
      <w:r>
        <w:t xml:space="preserve">: when those same prerequisites are absent, firms are forced to export despite logistics costs so severe that they erode all profit, and the inverted-U collapses into a monotone negative line. The two regimes are not different points on one curve but reflect different combinations of the three structural conditions; conventional theory characterizes the cases in which all three are satisfied, and FIP characterizes cases in which they are not. Empirically, identifying where the curve breaks down clarifies the structural prerequisites the conventional inverted-U logic assumes.</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reshapes the logic of the I-P relationship.</w:t>
      </w:r>
    </w:p>
    <w:p>
      <w:pPr>
        <w:pStyle w:val="BodyText"/>
      </w:pPr>
      <w:r>
        <w:t xml:space="preserve">This study makes three contributions to the IB literature. First, it provides a structured naming and explicit empirical operationalization for the SIDS internationalization mechanism that the foundational SIDS literature (Briguglio, 1995; Bertram, 2006 MIRAB; Briguglio et al., 2009) has long analysed at the macro level. The three-prerequisite structure (non-viable home market, prohibitive trade costs, comprehensive institutional voids) is established; our contribution is the firm-level operationalization, the FIP label that connects those macro constraints to the sign of the FSTS coefficient in I-P regressions, and the demonstration that this firm-level signature is recoverable in WBES data. We distinguish FIP from adjacent firm-level concepts including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 "institutional moderation of the I-P relationship" (Marano, Tallman, &amp; Teece, 2016) toward "institutional determination of the sign of the I-P relationship."</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2"/>
    <w:bookmarkStart w:id="27" w:name="X88086f89d30295b73ade34a6a6d72f6030bebeb"/>
    <w:p>
      <w:pPr>
        <w:pStyle w:val="Heading2"/>
      </w:pPr>
      <w:r>
        <w:t xml:space="preserve">2. Theoretical Background and Hypotheses</w:t>
      </w:r>
    </w:p>
    <w:bookmarkStart w:id="23"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3"/>
    <w:bookmarkStart w:id="24"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4"/>
    <w:bookmarkStart w:id="25"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5"/>
    <w:bookmarkStart w:id="26"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6"/>
    <w:bookmarkEnd w:id="27"/>
    <w:bookmarkStart w:id="31" w:name="X5eb800a903106e48a684e9ea9de39ed619b9df8"/>
    <w:p>
      <w:pPr>
        <w:pStyle w:val="Heading2"/>
      </w:pPr>
      <w:r>
        <w:t xml:space="preserve">3. Data and Methods</w:t>
      </w:r>
    </w:p>
    <w:bookmarkStart w:id="28"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8"/>
    <w:bookmarkStart w:id="29"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w:t>
      </w:r>
      <w:r>
        <w:t xml:space="preserve"> </w:t>
      </w:r>
      <m:oMath>
        <m:sSub>
          <m:e>
            <m:r>
              <m:rPr>
                <m:nor/>
                <m:sty m:val="p"/>
              </m:rPr>
              <m:t>FSTS</m:t>
            </m:r>
          </m:e>
          <m:sub>
            <m:r>
              <m:t>c</m:t>
            </m:r>
          </m:sub>
        </m:sSub>
      </m:oMath>
      <w:r>
        <w:t xml:space="preserve"> </w:t>
      </w:r>
      <w:r>
        <w:t xml:space="preserve">=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Following Lall (1992) and Goedhuys and Sleuwaegen (2013), TCI is constructed from two WBES items: b8 (internationally recognized quality certification, binary) and e6 (licensing of foreign technology, binary).</w:t>
      </w:r>
      <w:r>
        <w:t xml:space="preserve"> </w:t>
      </w:r>
      <m:oMath>
        <m:sSub>
          <m:e>
            <m:r>
              <m:rPr>
                <m:nor/>
                <m:sty m:val="p"/>
              </m:rPr>
              <m:t>TCI</m:t>
            </m:r>
          </m:e>
          <m:sub>
            <m:r>
              <m:t>z</m:t>
            </m:r>
          </m:sub>
        </m:sSub>
      </m:oMath>
      <w:r>
        <w:t xml:space="preserve"> </w:t>
      </w:r>
      <w:r>
        <w:t xml:space="preserve">is the z-standardized mean of these two indicators.</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w:t>
      </w:r>
      <w:r>
        <w:t xml:space="preserve"> </w:t>
      </w:r>
      <m:oMath>
        <m:sSub>
          <m:e>
            <m:r>
              <m:rPr>
                <m:nor/>
                <m:sty m:val="p"/>
              </m:rPr>
              <m:t>DAI</m:t>
            </m:r>
          </m:e>
          <m:sub>
            <m:r>
              <m:t>z</m:t>
            </m:r>
          </m:sub>
        </m:sSub>
      </m:oMath>
      <w:r>
        <w:t xml:space="preserve"> </w:t>
      </w:r>
      <w:r>
        <w:t xml:space="preserve">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across the full pooled sample. PPP conversion uses World Bank ICP deflators matched to survey year.</w:t>
      </w:r>
      <w:r>
        <w:t xml:space="preserve"> </w:t>
      </w:r>
      <m:oMath>
        <m:sSub>
          <m:e>
            <m:r>
              <m:rPr>
                <m:nor/>
                <m:sty m:val="p"/>
              </m:rPr>
              <m:t>FSTS</m:t>
            </m:r>
          </m:e>
          <m:sub>
            <m:r>
              <m:t>c</m:t>
            </m:r>
          </m:sub>
        </m:sSub>
      </m:oMath>
      <w:r>
        <w:t xml:space="preserve"> </w:t>
      </w:r>
      <w:r>
        <w:t xml:space="preserve">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9"/>
    <w:bookmarkStart w:id="30"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w:t>
      </w:r>
      <w:r>
        <w:t xml:space="preserve"> </w:t>
      </w:r>
      <m:oMath>
        <m:r>
          <m:t>α</m:t>
        </m:r>
      </m:oMath>
      <w:r>
        <w:t xml:space="preserve"> </w:t>
      </w:r>
      <w:r>
        <w:t xml:space="preserve">+</w:t>
      </w:r>
      <w:r>
        <w:t xml:space="preserve"> </w:t>
      </w:r>
      <m:oMath>
        <m:r>
          <m:t>γ</m:t>
        </m:r>
      </m:oMath>
      <w:r>
        <w:t xml:space="preserve">₁ ln_size_it +</w:t>
      </w:r>
      <w:r>
        <w:t xml:space="preserve"> </w:t>
      </w:r>
      <m:oMath>
        <m:r>
          <m:t>γ</m:t>
        </m:r>
      </m:oMath>
      <w:r>
        <w:t xml:space="preserve">₂ firm_age_it +</w:t>
      </w:r>
      <w:r>
        <w:t xml:space="preserve"> </w:t>
      </w:r>
      <m:oMath>
        <m:r>
          <m:t>γ</m:t>
        </m:r>
      </m:oMath>
      <w:r>
        <w:t xml:space="preserve">₃ foreign_own_pct_it + δ_c +</w:t>
      </w:r>
      <w:r>
        <w:t xml:space="preserve"> </w:t>
      </w:r>
      <m:oMath>
        <m:r>
          <m:t>λ</m:t>
        </m:r>
      </m:oMath>
      <w:r>
        <w:t xml:space="preserve">_t +</w:t>
      </w:r>
      <w:r>
        <w:t xml:space="preserve"> </w:t>
      </w:r>
      <m:oMath>
        <m:r>
          <m:t>ϵ</m:t>
        </m:r>
      </m:oMath>
      <w:r>
        <w:t xml:space="preserve">_it</w:t>
      </w:r>
    </w:p>
    <w:p>
      <w:pPr>
        <w:pStyle w:val="BodyText"/>
      </w:pPr>
      <w:r>
        <w:rPr>
          <w:bCs/>
          <w:b/>
        </w:rPr>
        <w:t xml:space="preserve">M1 (linear FSTS, FIP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M2 (quadratic FSTS, curvature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rPr>
          <w:bCs/>
          <w:b/>
        </w:rPr>
        <w:t xml:space="preserve">M3 (capabilities, moderation null test)</w:t>
      </w:r>
      <w:r>
        <w:t xml:space="preserve">:</w:t>
      </w:r>
      <w:r>
        <w:t xml:space="preserve"> </w:t>
      </w:r>
      <w:r>
        <w:t xml:space="preserve">ln_LP_it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sSub>
          <m:e>
            <m:r>
              <m:t>β</m:t>
            </m:r>
          </m:e>
          <m:sub>
            <m:r>
              <m:t>3</m:t>
            </m:r>
          </m:sub>
        </m:sSub>
      </m:oMath>
      <w:r>
        <w:t xml:space="preserve"> </w:t>
      </w:r>
      <m:oMath>
        <m:sSub>
          <m:e>
            <m:r>
              <m:rPr>
                <m:nor/>
                <m:sty m:val="p"/>
              </m:rPr>
              <m:t>TCI</m:t>
            </m:r>
          </m:e>
          <m:sub>
            <m:r>
              <m:t>z</m:t>
            </m:r>
          </m:sub>
        </m:sSub>
      </m:oMath>
      <w:r>
        <w:t xml:space="preserve">_it +</w:t>
      </w:r>
      <w:r>
        <w:t xml:space="preserve"> </w:t>
      </w:r>
      <m:oMath>
        <m:sSub>
          <m:e>
            <m:r>
              <m:t>β</m:t>
            </m:r>
          </m:e>
          <m:sub>
            <m:r>
              <m:t>4</m:t>
            </m:r>
          </m:sub>
        </m:sSub>
      </m:oMath>
      <w:r>
        <w:t xml:space="preserve"> </w:t>
      </w:r>
      <m:oMath>
        <m:sSub>
          <m:e>
            <m:r>
              <m:rPr>
                <m:nor/>
                <m:sty m:val="p"/>
              </m:rPr>
              <m:t>DAI</m:t>
            </m:r>
          </m:e>
          <m:sub>
            <m:r>
              <m:t>z</m:t>
            </m:r>
          </m:sub>
        </m:sSub>
      </m:oMath>
      <w:r>
        <w:t xml:space="preserve">_it +</w:t>
      </w:r>
      <w:r>
        <w:t xml:space="preserve"> </w:t>
      </w:r>
      <m:oMath>
        <m:r>
          <m:t>γ</m:t>
        </m:r>
      </m:oMath>
      <w:r>
        <w:t xml:space="preserve">·X_it + δ_c +</w:t>
      </w:r>
      <w:r>
        <w:t xml:space="preserve"> </w:t>
      </w:r>
      <m:oMath>
        <m:r>
          <m:t>λ</m:t>
        </m:r>
      </m:oMath>
      <w:r>
        <w:t xml:space="preserve">_t +</w:t>
      </w:r>
      <w:r>
        <w:t xml:space="preserve"> </w:t>
      </w:r>
      <m:oMath>
        <m:r>
          <m:t>ϵ</m:t>
        </m:r>
      </m:oMath>
      <w:r>
        <w:t xml:space="preserve">_it</w:t>
      </w:r>
    </w:p>
    <w:p>
      <w:pPr>
        <w:pStyle w:val="BodyText"/>
      </w:pPr>
      <w:r>
        <w:t xml:space="preserve">where δ_c denotes country fixed effects,</w:t>
      </w:r>
      <w:r>
        <w:t xml:space="preserve"> </w:t>
      </w:r>
      <m:oMath>
        <m:r>
          <m:t>λ</m:t>
        </m:r>
      </m:oMath>
      <w:r>
        <w:t xml:space="preserve">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30"/>
    <w:bookmarkEnd w:id="31"/>
    <w:bookmarkStart w:id="38" w:name="X121719332867ee227f0a04b486098cee978c6e6"/>
    <w:p>
      <w:pPr>
        <w:pStyle w:val="Heading2"/>
      </w:pPr>
      <w:r>
        <w:t xml:space="preserve">4. Results</w:t>
      </w:r>
    </w:p>
    <w:bookmarkStart w:id="32"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w:t>
      </w:r>
      <w:r>
        <w:t xml:space="preserve"> </w:t>
      </w:r>
      <m:oMath>
        <m:sSup>
          <m:e>
            <m:r>
              <m:t>R</m:t>
            </m:r>
          </m:e>
          <m:sup>
            <m:r>
              <m:t>2</m:t>
            </m:r>
          </m:sup>
        </m:sSup>
      </m:oMath>
      <w:r>
        <w:t xml:space="preserve"> </w:t>
      </w:r>
      <w:r>
        <w:t xml:space="preserve">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2"/>
    <w:bookmarkStart w:id="33"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w:t>
      </w:r>
      <w:r>
        <w:t xml:space="preserve"> </w:t>
      </w:r>
      <m:oMath>
        <m:sSup>
          <m:e>
            <m:r>
              <m:t>R</m:t>
            </m:r>
          </m:e>
          <m:sup>
            <m:r>
              <m:t>2</m:t>
            </m:r>
          </m:sup>
        </m:sSup>
      </m:oMath>
      <w:r>
        <w:t xml:space="preserve"> </w:t>
      </w:r>
      <w:r>
        <w:t xml:space="preserve">of 0.7992, and adding</w:t>
      </w:r>
      <w:r>
        <w:t xml:space="preserve"> </w:t>
      </w:r>
      <m:oMath>
        <m:sSub>
          <m:e>
            <m:r>
              <m:rPr>
                <m:nor/>
                <m:sty m:val="p"/>
              </m:rPr>
              <m:t>FSTS</m:t>
            </m:r>
          </m:e>
          <m:sub>
            <m:r>
              <m:t>c</m:t>
            </m:r>
          </m:sub>
        </m:sSub>
      </m:oMath>
      <w:r>
        <w:t xml:space="preserve"> </w:t>
      </w:r>
      <w:r>
        <w:t xml:space="preserve">in M1 marginally increases</w:t>
      </w:r>
      <w:r>
        <w:t xml:space="preserve"> </w:t>
      </w:r>
      <m:oMath>
        <m:sSup>
          <m:e>
            <m:r>
              <m:t>R</m:t>
            </m:r>
          </m:e>
          <m:sup>
            <m:r>
              <m:t>2</m:t>
            </m:r>
          </m:sup>
        </m:sSup>
      </m:oMath>
      <w:r>
        <w:t xml:space="preserve"> </w:t>
      </w:r>
      <w:r>
        <w:t xml:space="preserve">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w:t>
      </w:r>
      <m:oMath>
        <m:r>
          <m:t>β</m:t>
        </m:r>
      </m:oMath>
      <w:r>
        <w:t xml:space="preserve"> </w:t>
      </w:r>
      <w:r>
        <w:t xml:space="preserve">= +0.009, p = .052); foreign ownership shows a marginally negative association (</w:t>
      </w:r>
      <m:oMath>
        <m:r>
          <m:t>β</m:t>
        </m:r>
      </m:oMath>
      <w:r>
        <w:t xml:space="preserve"> </w:t>
      </w:r>
      <w:r>
        <w:t xml:space="preserve">= −0.006, p = .056), perhaps reflecting thin foreign investment efficiency in SIDS contexts; firm size is positive but non-significant (</w:t>
      </w:r>
      <m:oMath>
        <m:r>
          <m:t>β</m:t>
        </m:r>
      </m:oMath>
      <w:r>
        <w:t xml:space="preserve"> </w:t>
      </w:r>
      <w:r>
        <w:t xml:space="preserve">= +0.082, p = .242).</w:t>
      </w:r>
    </w:p>
    <w:bookmarkEnd w:id="33"/>
    <w:bookmarkStart w:id="34"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w:t>
      </w:r>
      <w:r>
        <w:t xml:space="preserve"> </w:t>
      </w:r>
      <m:oMath>
        <m:sSubSup>
          <m:e>
            <m:r>
              <m:rPr>
                <m:nor/>
                <m:sty m:val="p"/>
              </m:rPr>
              <m:t>FSTS</m:t>
            </m:r>
          </m:e>
          <m:sub>
            <m:r>
              <m:t>c</m:t>
            </m:r>
          </m:sub>
          <m:sup>
            <m:r>
              <m:t>2</m:t>
            </m:r>
          </m:sup>
        </m:sSubSup>
      </m:oMath>
      <w:r>
        <w:t xml:space="preserve"> </w:t>
      </w:r>
      <w:r>
        <w:t xml:space="preserve">to test whether the negative I-P relationship is eventually reversed, i.e., whether there is any inverted-U pattern with the positive portion below our data range.</w:t>
      </w:r>
    </w:p>
    <w:p>
      <w:pPr>
        <w:pStyle w:val="BodyText"/>
      </w:pPr>
      <w:r>
        <w:t xml:space="preserve">The results are:</w:t>
      </w:r>
      <w:r>
        <w:t xml:space="preserve"> </w:t>
      </w:r>
      <m:oMath>
        <m:r>
          <m:t>β</m:t>
        </m:r>
      </m:oMath>
      <w:r>
        <w:t xml:space="preserve">(</w:t>
      </w:r>
      <m:oMath>
        <m:sSub>
          <m:e>
            <m:r>
              <m:rPr>
                <m:nor/>
                <m:sty m:val="p"/>
              </m:rPr>
              <m:t>FSTS</m:t>
            </m:r>
          </m:e>
          <m:sub>
            <m:r>
              <m:t>c</m:t>
            </m:r>
          </m:sub>
        </m:sSub>
      </m:oMath>
      <w:r>
        <w:t xml:space="preserve">) = −0.925, SE = 0.828, p = .265 (n.s.)</w:t>
      </w:r>
      <w:r>
        <w:t xml:space="preserve"> </w:t>
      </w:r>
      <m:oMath>
        <m:r>
          <m:t>β</m:t>
        </m:r>
      </m:oMath>
      <w:r>
        <w:t xml:space="preserve">(</w:t>
      </w:r>
      <m:oMath>
        <m:sSubSup>
          <m:e>
            <m:r>
              <m:rPr>
                <m:nor/>
                <m:sty m:val="p"/>
              </m:rPr>
              <m:t>FSTS</m:t>
            </m:r>
          </m:e>
          <m:sub>
            <m:r>
              <m:t>c</m:t>
            </m:r>
          </m:sub>
          <m:sup>
            <m:r>
              <m:t>2</m:t>
            </m:r>
          </m:sup>
        </m:sSubSup>
      </m:oMath>
      <w:r>
        <w:t xml:space="preserve">)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2"/>
        </w:numPr>
        <w:pStyle w:val="Compact"/>
      </w:pPr>
      <w:r>
        <w:rPr>
          <w:bCs/>
          <w:b/>
        </w:rPr>
        <w:t xml:space="preserve">C1</w:t>
      </w:r>
      <w:r>
        <w:t xml:space="preserve"> </w:t>
      </w:r>
      <w:r>
        <w:t xml:space="preserve">(positive slope at low FSTS):</w:t>
      </w:r>
      <w:r>
        <w:t xml:space="preserve"> </w:t>
      </w:r>
      <m:oMath>
        <m:r>
          <m:t>β</m:t>
        </m:r>
      </m:oMath>
      <w:r>
        <w:t xml:space="preserve">(</w:t>
      </w:r>
      <m:oMath>
        <m:sSub>
          <m:e>
            <m:r>
              <m:rPr>
                <m:nor/>
                <m:sty m:val="p"/>
              </m:rPr>
              <m:t>FSTS</m:t>
            </m:r>
          </m:e>
          <m:sub>
            <m:r>
              <m:t>c</m:t>
            </m:r>
          </m:sub>
        </m:sSub>
      </m:oMath>
      <w:r>
        <w:t xml:space="preserve">)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2"/>
        </w:numPr>
        <w:pStyle w:val="Compact"/>
      </w:pPr>
      <w:r>
        <w:rPr>
          <w:bCs/>
          <w:b/>
        </w:rPr>
        <w:t xml:space="preserve">C2</w:t>
      </w:r>
      <w:r>
        <w:t xml:space="preserve"> </w:t>
      </w:r>
      <w:r>
        <w:t xml:space="preserve">(negative curvature</w:t>
      </w:r>
      <w:r>
        <w:t xml:space="preserve"> </w:t>
      </w:r>
      <m:oMath>
        <m:sSub>
          <m:e>
            <m:r>
              <m:t>β</m:t>
            </m:r>
          </m:e>
          <m:sub>
            <m:r>
              <m:t>2</m:t>
            </m:r>
          </m:sub>
        </m:sSub>
      </m:oMath>
      <w:r>
        <w:t xml:space="preserve"> </w:t>
      </w:r>
      <w:r>
        <w:t xml:space="preserve">&lt; 0):</w:t>
      </w:r>
      <w:r>
        <w:t xml:space="preserve"> </w:t>
      </w:r>
      <m:oMath>
        <m:r>
          <m:t>β</m:t>
        </m:r>
      </m:oMath>
      <w:r>
        <w:t xml:space="preserve">(</w:t>
      </w:r>
      <m:oMath>
        <m:sSubSup>
          <m:e>
            <m:r>
              <m:rPr>
                <m:nor/>
                <m:sty m:val="p"/>
              </m:rPr>
              <m:t>FSTS</m:t>
            </m:r>
          </m:e>
          <m:sub>
            <m:r>
              <m:t>c</m:t>
            </m:r>
          </m:sub>
          <m:sup>
            <m:r>
              <m:t>2</m:t>
            </m:r>
          </m:sup>
        </m:sSubSup>
      </m:oMath>
      <w:r>
        <w:t xml:space="preserve">)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2"/>
        </w:numPr>
        <w:pStyle w:val="Compact"/>
      </w:pPr>
      <w:r>
        <w:rPr>
          <w:bCs/>
          <w:b/>
        </w:rPr>
        <w:t xml:space="preserve">C3</w:t>
      </w:r>
      <w:r>
        <w:t xml:space="preserve"> </w:t>
      </w:r>
      <w:r>
        <w:t xml:space="preserve">(turning point within data range): TP* = −(−0.925) / (2</w:t>
      </w:r>
      <w:r>
        <w:t xml:space="preserve"> </w:t>
      </w:r>
      <m:oMath>
        <m:r>
          <m:rPr>
            <m:sty m:val="p"/>
          </m:rPr>
          <m:t>×</m:t>
        </m:r>
      </m:oMath>
      <w:r>
        <w:t xml:space="preserve"> </w:t>
      </w:r>
      <w:r>
        <w:t xml:space="preserve">0.649) = 0.712,</w:t>
      </w:r>
      <w:r>
        <w:t xml:space="preserve"> </w:t>
      </w:r>
      <w:r>
        <w:rPr>
          <w:bCs/>
          <w:b/>
        </w:rPr>
        <w:t xml:space="preserve">implied turning point lies outside the observed sample maximum (</w:t>
      </w:r>
      <m:oMath>
        <m:sSub>
          <m:e>
            <m:r>
              <m:rPr>
                <m:nor/>
                <m:sty m:val="p"/>
              </m:rPr>
              <m:t>FSTS</m:t>
            </m:r>
          </m:e>
          <m:sub>
            <m:r>
              <m:t>m</m:t>
            </m:r>
          </m:sub>
        </m:sSub>
      </m:oMath>
      <w:r>
        <w:rPr>
          <w:bCs/>
          <w:b/>
        </w:rPr>
        <w:t xml:space="preserve">ax</w:t>
      </w:r>
      <w:r>
        <w:rPr>
          <w:bCs/>
          <w:b/>
        </w:rPr>
        <w:t xml:space="preserve"> </w:t>
      </w:r>
      <m:oMath>
        <m:r>
          <m:rPr>
            <m:sty m:val="p"/>
          </m:rPr>
          <m:t>≈</m:t>
        </m:r>
      </m:oMath>
      <w:r>
        <w:rPr>
          <w:bCs/>
          <w:b/>
        </w:rPr>
        <w:t xml:space="preserve"> </w:t>
      </w:r>
      <w:r>
        <w:rPr>
          <w:bCs/>
          <w:b/>
        </w:rPr>
        <w:t xml:space="preserve">0.80, but neither</w:t>
      </w:r>
      <w:r>
        <w:rPr>
          <w:bCs/>
          <w:b/>
        </w:rPr>
        <w:t xml:space="preserve"> </w:t>
      </w:r>
      <m:oMath>
        <m:sSub>
          <m:e>
            <m:r>
              <m:t>β</m:t>
            </m:r>
          </m:e>
          <m:sub>
            <m:r>
              <m:t>1</m:t>
            </m:r>
          </m:sub>
        </m:sSub>
      </m:oMath>
      <w:r>
        <w:rPr>
          <w:bCs/>
          <w:b/>
        </w:rPr>
        <w:t xml:space="preserve"> </w:t>
      </w:r>
      <w:r>
        <w:rPr>
          <w:bCs/>
          <w:b/>
        </w:rPr>
        <w:t xml:space="preserve">nor</w:t>
      </w:r>
      <w:r>
        <w:rPr>
          <w:bCs/>
          <w:b/>
        </w:rPr>
        <w:t xml:space="preserve"> </w:t>
      </w:r>
      <m:oMath>
        <m:sSub>
          <m:e>
            <m:r>
              <m:t>β</m:t>
            </m:r>
          </m:e>
          <m:sub>
            <m:r>
              <m:t>2</m:t>
            </m:r>
          </m:sub>
        </m:sSub>
      </m:oMath>
      <w:r>
        <w:rPr>
          <w:bCs/>
          <w:b/>
        </w:rPr>
        <w:t xml:space="preserve"> </w:t>
      </w:r>
      <w:r>
        <w:rPr>
          <w:bCs/>
          <w:b/>
        </w:rPr>
        <w:t xml:space="preserve">is statistically significant)</w:t>
      </w:r>
    </w:p>
    <w:p>
      <w:pPr>
        <w:numPr>
          <w:ilvl w:val="0"/>
          <w:numId w:val="1002"/>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4"/>
    <w:bookmarkStart w:id="35"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m:oMath>
        <m:r>
          <m:t>β</m:t>
        </m:r>
      </m:oMath>
      <w:r>
        <w:t xml:space="preserve">(FSTS)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m:oMath>
        <m:r>
          <m:t>β</m:t>
        </m:r>
      </m:oMath>
      <w:r>
        <w:t xml:space="preserve">(FSTS)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m:oMath>
        <m:r>
          <m:t>β</m:t>
        </m:r>
      </m:oMath>
      <w:r>
        <w:t xml:space="preserve">(</w:t>
      </w:r>
      <m:oMath>
        <m:sSub>
          <m:e>
            <m:r>
              <m:rPr>
                <m:nor/>
                <m:sty m:val="p"/>
              </m:rPr>
              <m:t>FSTS</m:t>
            </m:r>
          </m:e>
          <m:sub>
            <m:r>
              <m:t>c</m:t>
            </m:r>
          </m:sub>
        </m:sSub>
      </m:oMath>
      <w:r>
        <w:t xml:space="preserve">)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5"/>
    <w:bookmarkStart w:id="36"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as additional regressors to test H2. Neither variable achieves statistical significance:</w:t>
      </w:r>
    </w:p>
    <w:p>
      <w:pPr>
        <w:pStyle w:val="BodyText"/>
      </w:pPr>
      <m:oMath>
        <m:r>
          <m:t>β</m:t>
        </m:r>
      </m:oMath>
      <w:r>
        <w:t xml:space="preserve">(</w:t>
      </w:r>
      <m:oMath>
        <m:sSub>
          <m:e>
            <m:r>
              <m:rPr>
                <m:nor/>
                <m:sty m:val="p"/>
              </m:rPr>
              <m:t>TCI</m:t>
            </m:r>
          </m:e>
          <m:sub>
            <m:r>
              <m:t>z</m:t>
            </m:r>
          </m:sub>
        </m:sSub>
      </m:oMath>
      <w:r>
        <w:t xml:space="preserve">) = +0.058, SE = 0.085, p = .495 (n.s.)</w:t>
      </w:r>
      <w:r>
        <w:t xml:space="preserve"> </w:t>
      </w:r>
      <m:oMath>
        <m:r>
          <m:t>β</m:t>
        </m:r>
      </m:oMath>
      <w:r>
        <w:t xml:space="preserve">(</w:t>
      </w:r>
      <m:oMath>
        <m:sSub>
          <m:e>
            <m:r>
              <m:rPr>
                <m:nor/>
                <m:sty m:val="p"/>
              </m:rPr>
              <m:t>DAI</m:t>
            </m:r>
          </m:e>
          <m:sub>
            <m:r>
              <m:t>z</m:t>
            </m:r>
          </m:sub>
        </m:sSub>
      </m:oMath>
      <w:r>
        <w:t xml:space="preserve">) = +0.062, SE = 0.073, p = .402 (n.s.)</w:t>
      </w:r>
    </w:p>
    <w:p>
      <w:pPr>
        <w:pStyle w:val="BodyText"/>
      </w:pPr>
      <w:r>
        <w:t xml:space="preserve">The FIP coefficient (</w:t>
      </w:r>
      <m:oMath>
        <m:sSub>
          <m:e>
            <m:r>
              <m:rPr>
                <m:nor/>
                <m:sty m:val="p"/>
              </m:rPr>
              <m:t>FSTS</m:t>
            </m:r>
          </m:e>
          <m:sub>
            <m:r>
              <m:t>c</m:t>
            </m:r>
          </m:sub>
        </m:sSub>
      </m:oMath>
      <w:r>
        <w:t xml:space="preserve">) remains negative but loses significance in M3 (</w:t>
      </w:r>
      <m:oMath>
        <m:r>
          <m:t>β</m:t>
        </m:r>
      </m:oMath>
      <w:r>
        <w:t xml:space="preserve"> </w:t>
      </w:r>
      <w:r>
        <w:t xml:space="preserve">= −0.974, p = .252), likely reflecting the substantially reduced sample (N = 526 for M3, versus N = 1,469 for M1, due to missing capability variables). The direction of the</w:t>
      </w:r>
      <w:r>
        <w:t xml:space="preserve"> </w:t>
      </w:r>
      <m:oMath>
        <m:sSub>
          <m:e>
            <m:r>
              <m:rPr>
                <m:nor/>
                <m:sty m:val="p"/>
              </m:rPr>
              <m:t>FSTS</m:t>
            </m:r>
          </m:e>
          <m:sub>
            <m:r>
              <m:t>c</m:t>
            </m:r>
          </m:sub>
        </m:sSub>
      </m:oMath>
      <w:r>
        <w:t xml:space="preserve"> </w:t>
      </w:r>
      <w:r>
        <w:t xml:space="preserve">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w:t>
      </w:r>
      <m:oMath>
        <m:sSub>
          <m:e>
            <m:r>
              <m:rPr>
                <m:nor/>
                <m:sty m:val="p"/>
              </m:rPr>
              <m:t>TCI</m:t>
            </m:r>
          </m:e>
          <m:sub>
            <m:r>
              <m:t>z</m:t>
            </m:r>
          </m:sub>
        </m:sSub>
      </m:oMath>
      <w:r>
        <w:t xml:space="preserve">:</w:t>
      </w:r>
      <w:r>
        <w:t xml:space="preserve"> </w:t>
      </w:r>
      <m:oMath>
        <m:r>
          <m:t>β</m:t>
        </m:r>
      </m:oMath>
      <w:r>
        <w:t xml:space="preserve"> </w:t>
      </w:r>
      <w:r>
        <w:t xml:space="preserve">= +0.058, SE = 0.085, p = .495) and digital adoption (</w:t>
      </w:r>
      <m:oMath>
        <m:sSub>
          <m:e>
            <m:r>
              <m:rPr>
                <m:nor/>
                <m:sty m:val="p"/>
              </m:rPr>
              <m:t>DAI</m:t>
            </m:r>
          </m:e>
          <m:sub>
            <m:r>
              <m:t>z</m:t>
            </m:r>
          </m:sub>
        </m:sSub>
      </m:oMath>
      <w:r>
        <w:t xml:space="preserve">:</w:t>
      </w:r>
      <w:r>
        <w:t xml:space="preserve"> </w:t>
      </w:r>
      <m:oMath>
        <m:r>
          <m:t>β</m:t>
        </m:r>
      </m:oMath>
      <w:r>
        <w:t xml:space="preserve"> </w:t>
      </w:r>
      <w:r>
        <w:t xml:space="preserve">= +0.062, SE = 0.073, p = .402) do not statistically significantly moderate the I-P relationship in Pacific SIDS, consistent with the FIP mechanism overwhelming capability effects in structurally constrained SIDS economies. The positive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6"/>
    <w:bookmarkStart w:id="37"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w:t>
      </w:r>
      <w:r>
        <w:t xml:space="preserve"> </w:t>
      </w:r>
      <m:oMath>
        <m:r>
          <m:t>β</m:t>
        </m:r>
      </m:oMath>
      <w:r>
        <w:t xml:space="preserve"> </w:t>
      </w:r>
      <w:r>
        <w:t xml:space="preserve">= −0.404, p = .032); (ii) no significant quadratic curvature or turning point (M2: both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non-significant); (iii) robustly negative across four specifications (M_yearFE:</w:t>
      </w:r>
      <w:r>
        <w:t xml:space="preserve"> </w:t>
      </w:r>
      <m:oMath>
        <m:r>
          <m:t>β</m:t>
        </m:r>
      </m:oMath>
      <w:r>
        <w:t xml:space="preserve"> </w:t>
      </w:r>
      <w:r>
        <w:t xml:space="preserve">= −1.236, p &lt; .001; M_bivariate:</w:t>
      </w:r>
      <w:r>
        <w:t xml:space="preserve"> </w:t>
      </w:r>
      <m:oMath>
        <m:r>
          <m:t>β</m:t>
        </m:r>
      </m:oMath>
      <w:r>
        <w:t xml:space="preserve"> </w:t>
      </w:r>
      <w:r>
        <w:t xml:space="preserve">= −1.596, p &lt; .001; exporters-only:</w:t>
      </w:r>
      <w:r>
        <w:t xml:space="preserve"> </w:t>
      </w:r>
      <m:oMath>
        <m:r>
          <m:t>β</m:t>
        </m:r>
      </m:oMath>
      <w:r>
        <w:t xml:space="preserve"> </w:t>
      </w:r>
      <w:r>
        <w:t xml:space="preserve">= −0.901, p = .027); and (iv) null capability moderation (M3:</w:t>
      </w:r>
      <w:r>
        <w:t xml:space="preserve"> </w:t>
      </w:r>
      <m:oMath>
        <m:sSub>
          <m:e>
            <m:r>
              <m:rPr>
                <m:nor/>
                <m:sty m:val="p"/>
              </m:rPr>
              <m:t>TCI</m:t>
            </m:r>
          </m:e>
          <m:sub>
            <m:r>
              <m:t>z</m:t>
            </m:r>
          </m:sub>
        </m:sSub>
      </m:oMath>
      <w:r>
        <w:t xml:space="preserve"> </w:t>
      </w:r>
      <w:r>
        <w:t xml:space="preserve">p = .495;</w:t>
      </w:r>
      <w:r>
        <w:t xml:space="preserve"> </w:t>
      </w:r>
      <m:oMath>
        <m:sSub>
          <m:e>
            <m:r>
              <m:rPr>
                <m:nor/>
                <m:sty m:val="p"/>
              </m:rPr>
              <m:t>DAI</m:t>
            </m:r>
          </m:e>
          <m:sub>
            <m:r>
              <m:t>z</m:t>
            </m:r>
          </m:sub>
        </m:sSub>
      </m:oMath>
      <w:r>
        <w:t xml:space="preserve"> </w:t>
      </w:r>
      <w:r>
        <w:t xml:space="preserve">p = .402).</w:t>
      </w:r>
    </w:p>
    <w:p>
      <w:r>
        <w:pict>
          <v:rect style="width:0;height:1.5pt" o:hralign="center" o:hrstd="t" o:hr="t"/>
        </w:pict>
      </w:r>
    </w:p>
    <w:bookmarkEnd w:id="37"/>
    <w:bookmarkEnd w:id="38"/>
    <w:bookmarkStart w:id="44" w:name="X735612638e4e736e4693e459c258977262c0dfc"/>
    <w:p>
      <w:pPr>
        <w:pStyle w:val="Heading2"/>
      </w:pPr>
      <w:r>
        <w:t xml:space="preserve">5. Discussion</w:t>
      </w:r>
    </w:p>
    <w:bookmarkStart w:id="39"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 "cost of doing business" 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 "weaker moderation" to "violated prerequisites," the sign of the I-P relationship reverses, not merely its magnitude.</w:t>
      </w:r>
    </w:p>
    <w:p>
      <w:pPr>
        <w:pStyle w:val="BodyText"/>
      </w:pPr>
      <w:r>
        <w:t xml:space="preserve">Read this way, conventional theory and FIP are the two poles of a single continuum rather than a rule and its exception. At the strong-institution pole, internationalization is internationalization-to-scale: a firm such as a Singaporean exporter operates on the long ascending limb where exporting optimizes profit margins, and the turning point arrives very late because the home base, trade costs, and institutions all permit scale and learning gains to be appropriated. At the opposite pole, internationalization is internationalization-to-survive: SIDS firms are forced to export despite trade-cost amplifications that erode all profit, and the curve collapses into a monotone negative line. The value of the FIP pole is not that it is rare but that it is diagnostic. It is the theoretically most revealing case precisely because it is the singularity at which the inverted-U breaks down, and where the breakdown lays bare the structural prerequisites the standard model assumes but leaves unstated. The conventional curve never had to declare its dependence on a viable home market, on bearable logistics, and on functioning institutions, because in mainstream samples those conditions are always present; only at the FIP pole, where they vanish together, does that hidden dependence become observable. FIP therefore contributes a general boundary condition to institutional moderation theory: it specifies the limit at which moderation of degree gives way to determination of sign.</w:t>
      </w:r>
    </w:p>
    <w:bookmarkEnd w:id="39"/>
    <w:bookmarkStart w:id="40"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 "intensity moderation" toward "existence moderation" 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40"/>
    <w:bookmarkStart w:id="41" w:name="X8a30c3062e38861be110fa8b68be2e42e1dcb57"/>
    <w:p>
      <w:pPr>
        <w:pStyle w:val="Heading3"/>
      </w:pPr>
      <w:r>
        <w:t xml:space="preserve">5.3 The Capability Null: Institutional Determination vs. Moderation</w:t>
      </w:r>
    </w:p>
    <w:p>
      <w:pPr>
        <w:pStyle w:val="FirstParagraph"/>
      </w:pPr>
      <w:r>
        <w:t xml:space="preserve">The null results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inside the firm, unable to translate into performance advantages through international market transactions.</w:t>
      </w:r>
    </w:p>
    <w:p>
      <w:pPr>
        <w:pStyle w:val="BodyText"/>
      </w:pPr>
      <w:r>
        <w:t xml:space="preserve">The positive though non-significant point estimates for</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1"/>
    <w:bookmarkStart w:id="42"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2"/>
    <w:bookmarkStart w:id="43"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3"/>
    <w:bookmarkEnd w:id="44"/>
    <w:bookmarkStart w:id="45" w:name="X56025c6d9dbf7520f7a7df11f905cdd09f46e4a"/>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w:t>
      </w:r>
      <m:oMath>
        <m:r>
          <m:t>β</m:t>
        </m:r>
      </m:oMath>
      <w:r>
        <w:t xml:space="preserve"> </w:t>
      </w:r>
      <w:r>
        <w:t xml:space="preserve">= −0.404, p = .032 in the primary country-and-year fixed-effects model;</w:t>
      </w:r>
      <w:r>
        <w:t xml:space="preserve"> </w:t>
      </w:r>
      <m:oMath>
        <m:r>
          <m:t>β</m:t>
        </m:r>
      </m:oMath>
      <w:r>
        <w:t xml:space="preserve"> </w:t>
      </w:r>
      <w:r>
        <w:t xml:space="preserve">= −1.236, p &lt; .001 without country fixed effects;</w:t>
      </w:r>
      <w:r>
        <w:t xml:space="preserve"> </w:t>
      </w:r>
      <m:oMath>
        <m:r>
          <m:t>β</m:t>
        </m:r>
      </m:oMath>
      <w:r>
        <w:t xml:space="preserve"> </w:t>
      </w:r>
      <w:r>
        <w:t xml:space="preserve">=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toward "institutional determination of I-P sign," which establishes the inverted-U as conditional on structural prerequisites rather than universal. FIP and conventional theory are best understood as the two poles of one continuum: internationalization-to-scale, where exporting optimizes margins and the turning point is very late, and internationalization-to-survive, where firms are compelled to export despite profit-eroding logistics costs and the curve collapses to a monotone negative line. The SIDS case is valuable not because it is exotic but because it is the singularity at which the standard model breaks down and thereby reveals the prerequisites it silently assumes; FIP names that limiting regime and supplies a general boundary condition for institutional moderation theory.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5"/>
    <w:bookmarkStart w:id="47" w:name="acknowledgements"/>
    <w:p>
      <w:pPr>
        <w:pStyle w:val="Heading2"/>
      </w:pPr>
      <w:r>
        <w:t xml:space="preserve">Acknowledgements</w:t>
      </w:r>
    </w:p>
    <w:p>
      <w:pPr>
        <w:pStyle w:val="FirstParagraph"/>
      </w:pPr>
      <w:r>
        <w:t xml:space="preserve">Source: World Bank Enterprise Surveys (WBES),</w:t>
      </w:r>
      <w:r>
        <w:t xml:space="preserve"> </w:t>
      </w:r>
      <w:hyperlink r:id="rId46">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bookmarkEnd w:id="47"/>
    <w:bookmarkStart w:id="48" w:name="funding"/>
    <w:p>
      <w:pPr>
        <w:pStyle w:val="Heading2"/>
      </w:pPr>
      <w:r>
        <w:t xml:space="preserve">Funding</w:t>
      </w:r>
    </w:p>
    <w:p>
      <w:pPr>
        <w:pStyle w:val="FirstParagraph"/>
      </w:pPr>
      <w:r>
        <w:t xml:space="preserve">The authors received no specific grant from any funding agency in the public, commercial, or not-for-profit sectors for the research, authorship, or publication of this article.</w:t>
      </w:r>
    </w:p>
    <w:bookmarkEnd w:id="48"/>
    <w:bookmarkStart w:id="49"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bookmarkEnd w:id="49"/>
    <w:bookmarkStart w:id="50" w:name="credit-author-statement"/>
    <w:p>
      <w:pPr>
        <w:pStyle w:val="Heading2"/>
      </w:pPr>
      <w:r>
        <w:t xml:space="preserve">CRediT Author Statement</w:t>
      </w:r>
    </w:p>
    <w:p>
      <w:pPr>
        <w:pStyle w:val="FirstParagraph"/>
      </w:pPr>
      <w:r>
        <w:rPr>
          <w:iCs/>
          <w:i/>
        </w:rPr>
        <w:t xml:space="preserve">Author 1 (corresponding):</w:t>
      </w:r>
      <w:r>
        <w:t xml:space="preserve"> </w:t>
      </w:r>
      <w:r>
        <w:t xml:space="preserve">Conceptualization, Methodology, Data curation, Formal analysis, Writing — original draft.</w:t>
      </w:r>
      <w:r>
        <w:t xml:space="preserve"> </w:t>
      </w:r>
      <w:r>
        <w:rPr>
          <w:iCs/>
          <w:i/>
        </w:rPr>
        <w:t xml:space="preserve">Author 2:</w:t>
      </w:r>
      <w:r>
        <w:t xml:space="preserve"> </w:t>
      </w:r>
      <w:r>
        <w:t xml:space="preserve">Conceptualization, Methodology, Writing — review &amp; editing, Supervision. (Full author identities provided in separate Title Page; CRediT terms per Brand et al., 2015.)</w:t>
      </w:r>
    </w:p>
    <w:bookmarkEnd w:id="50"/>
    <w:bookmarkStart w:id="51" w:name="Xfd35355eaff5be7167e13ac5f8f9ba5509cc5e8"/>
    <w:p>
      <w:pPr>
        <w:pStyle w:val="Heading2"/>
      </w:pPr>
      <w:r>
        <w:t xml:space="preserve">Declaration of Generative AI and AI-Assisted Technologies</w:t>
      </w:r>
    </w:p>
    <w:p>
      <w:pPr>
        <w:pStyle w:val="FirstParagraph"/>
      </w:pPr>
      <w:r>
        <w:t xml:space="preserve">During the preparation of this work the authors used large-language-model assistants to support: (i) language polishing of draft prose at the sentence level; (ii) consistency checking of statistical notation and APA 7 reference formatting; and (iii) preliminary screening of WBES variable codes against the harmonisation protocol. After using these tools, the authors reviewed and edited the content as needed and take full responsibility for the content of the published article. No AI tool was used for analytic decisions, hypothesis development, or interpretation of empirical results.</w:t>
      </w:r>
    </w:p>
    <w:bookmarkEnd w:id="51"/>
    <w:bookmarkStart w:id="53" w:name="data-availability-statement"/>
    <w:p>
      <w:pPr>
        <w:pStyle w:val="Heading2"/>
      </w:pPr>
      <w:r>
        <w:t xml:space="preserve">Data Availability Statement</w:t>
      </w:r>
    </w:p>
    <w:p>
      <w:pPr>
        <w:pStyle w:val="FirstParagraph"/>
      </w:pPr>
      <w:r>
        <w:t xml:space="preserve">The World Bank Enterprise Survey microdata used in this study are publicly available at</w:t>
      </w:r>
      <w:r>
        <w:t xml:space="preserve"> </w:t>
      </w:r>
      <w:hyperlink r:id="rId52">
        <w:r>
          <w:rPr>
            <w:rStyle w:val="Hyperlink"/>
          </w:rPr>
          <w:t xml:space="preserve">https://www.enterprisesurveys.org</w:t>
        </w:r>
      </w:hyperlink>
      <w:r>
        <w:t xml:space="preserve"> </w:t>
      </w:r>
      <w:r>
        <w:t xml:space="preserve">(accessed during May 2025–April 2026 for the nine Pacific SIDS waves analysed). The harmonisation protocol, derived variable construction code, and replication scripts that reproduce the regression results reported in §4 are available from the corresponding author on reasonable request; a fully anonymised replication archive will be deposited on OSF upon acceptance.</w:t>
      </w:r>
    </w:p>
    <w:p>
      <w:r>
        <w:pict>
          <v:rect style="width:0;height:1.5pt" o:hralign="center" o:hrstd="t" o:hr="t"/>
        </w:pict>
      </w:r>
    </w:p>
    <w:bookmarkEnd w:id="53"/>
    <w:bookmarkStart w:id="57"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4">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5">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7"/>
    <w:bookmarkStart w:id="61" w:name="appendix-a-tables"/>
    <w:p>
      <w:pPr>
        <w:pStyle w:val="Heading2"/>
      </w:pPr>
      <w:r>
        <w:t xml:space="preserve">Appendix A: Tables</w:t>
      </w:r>
    </w:p>
    <w:bookmarkStart w:id="58"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58"/>
    <w:bookmarkStart w:id="59"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w:t>
      </w:r>
      <w:r>
        <w:rPr>
          <w:iCs/>
          <w:i/>
        </w:rPr>
        <w:t xml:space="preserve"> </w:t>
      </w:r>
      <m:oMath>
        <m:r>
          <m:t>β</m:t>
        </m:r>
      </m:oMath>
      <w:r>
        <w:rPr>
          <w:iCs/>
          <w:i/>
        </w:rPr>
        <w:t xml:space="preserve">(</w:t>
      </w:r>
      <m:oMath>
        <m:sSub>
          <m:e>
            <m:r>
              <m:rPr>
                <m:nor/>
                <m:sty m:val="p"/>
              </m:rPr>
              <m:t>FSTS</m:t>
            </m:r>
          </m:e>
          <m:sub>
            <m:r>
              <m:t>c</m:t>
            </m:r>
          </m:sub>
        </m:sSub>
      </m:oMath>
      <w:r>
        <w:rPr>
          <w:iCs/>
          <w:i/>
        </w:rPr>
        <w:t xml:space="preserve">) = −0.404, p = .032 (M1).</w:t>
      </w:r>
    </w:p>
    <w:bookmarkEnd w:id="59"/>
    <w:bookmarkStart w:id="60"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w:t>
      </w:r>
      <m:oMath>
        <m:r>
          <m:t>β</m:t>
        </m:r>
      </m:oMath>
      <w:r>
        <w:rPr>
          <w:iCs/>
          <w:i/>
        </w:rPr>
        <w:t xml:space="preserve"> </w:t>
      </w:r>
      <w:r>
        <w:rPr>
          <w:iCs/>
          <w:i/>
        </w:rPr>
        <w:t xml:space="preserve">= −0.901) addresses adverse selection concern: among active exporters, intensifying exports further worsens performance.</w:t>
      </w:r>
    </w:p>
    <w:bookmarkEnd w:id="60"/>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enterprisesurveys.org" TargetMode="External" /><Relationship Type="http://schemas.openxmlformats.org/officeDocument/2006/relationships/hyperlink" Id="rId55" Target="https://data360.worldbank.org/en/int/atlas/artificial-intelligence" TargetMode="External" /><Relationship Type="http://schemas.openxmlformats.org/officeDocument/2006/relationships/hyperlink" Id="rId56" Target="https://data360.worldbank.org/en/int/atlas/global-progress" TargetMode="External" /><Relationship Type="http://schemas.openxmlformats.org/officeDocument/2006/relationships/hyperlink" Id="rId54" Target="https://doi.org/10.1002/smj.2399" TargetMode="External" /><Relationship Type="http://schemas.openxmlformats.org/officeDocument/2006/relationships/hyperlink" Id="rId52"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46" Target="http://www.enterprisesurveys.org" TargetMode="External" /><Relationship Type="http://schemas.openxmlformats.org/officeDocument/2006/relationships/hyperlink" Id="rId55" Target="https://data360.worldbank.org/en/int/atlas/artificial-intelligence" TargetMode="External" /><Relationship Type="http://schemas.openxmlformats.org/officeDocument/2006/relationships/hyperlink" Id="rId56" Target="https://data360.worldbank.org/en/int/atlas/global-progress" TargetMode="External" /><Relationship Type="http://schemas.openxmlformats.org/officeDocument/2006/relationships/hyperlink" Id="rId54" Target="https://doi.org/10.1002/smj.2399" TargetMode="External" /><Relationship Type="http://schemas.openxmlformats.org/officeDocument/2006/relationships/hyperlink" Id="rId52"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2026-06-01T08:29:23Z</dcterms:created>
  <dcterms:modified xsi:type="dcterms:W3CDTF">2026-06-01T08:29:23Z</dcterms:modified>
</cp:coreProperties>
</file>

<file path=docProps/custom.xml><?xml version="1.0" encoding="utf-8"?>
<Properties xmlns="http://schemas.openxmlformats.org/officeDocument/2006/custom-properties" xmlns:vt="http://schemas.openxmlformats.org/officeDocument/2006/docPropsVTypes"/>
</file>