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kết quả nghiên cứu của luận án theo logic đi từ mô tả thực trạng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hiệu quả hoạt động kinh doanh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Việc gộp hai loại Advanced vào một nhóm duy nhất, như các nghiên cứu trước thường làm, do đó che khuất cơ chế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neo phần mô tả vào bằng chứng suy diễn nhất quán, thay vì dừng ở so sánh trung bình và 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Trung bình cao và Advanced có cùng FSTS trung bình (~10%) nhưng cơ chế xuất khẩu khác hẳn: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Ở SIDS nổi lên khuôn mẫu</w:t>
      </w:r>
      <w:r>
        <w:t xml:space="preserve"> </w:t>
      </w:r>
      <w:r>
        <w:t xml:space="preserve">“</w:t>
      </w:r>
      <w:r>
        <w:t xml:space="preserve">thích nghi và nhảy vọt</w:t>
      </w:r>
      <w:r>
        <w:t xml:space="preserve">”</w:t>
      </w:r>
      <w:r>
        <w:t xml:space="preserve"> </w:t>
      </w:r>
      <w:r>
        <w:t xml:space="preserve">(adaptive leapfrogging):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Như vậy, quan hệ thô giữa quốc tế hóa và năng suất gần như biến mất ở môi trường thể chế yếu, cho thấy một quan hệ phi tuyến và bị điều tiết chứ không phải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tương phản về số hóa xuất hiện ngay ở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hệ quả của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Kết quả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quan trọng: dị biệt trong tài liệu về quan hệ quốc tế hóa và hiệu quả xuất phát chủ yếu từ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Theo đó, sự không nhất quán trong tài liệu phần lớn là vấn đề</w:t>
      </w:r>
      <w:r>
        <w:t xml:space="preserve"> </w:t>
      </w:r>
      <w:r>
        <w:rPr>
          <w:bCs/>
          <w:b/>
        </w:rPr>
        <w:t xml:space="preserve">đo lường và bối cảnh</w:t>
      </w:r>
      <w:r>
        <w:t xml:space="preserve">, chứ không phản ánh quan hệ nhân quả giữa quốc tế hóa và hiệu quả thiếu nhất quán thực sự.</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chế độ thể chế, phân loại từ tiên tiến đổi mới (Nhóm I) đến nhóm biên thể chế yếu nhất, là biến điều tiết có ý nghĩa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không chỉ là một cảnh báo phương pháp mà còn có hàm ý lý thuyết quan trọng.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VIF) duy trì dưới 3 ở mọi mô hình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tập trung quốc tế vừa phải, khi thị trường nội địa khổng lồ của Trung Quốc đồng thời mở ra dư địa tăng trưởng trong nước.</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Như vậy, ở bối cảnh trung bình cao như Trung Quốc, cơ chế nền tảng của quan hệ quốc tế hóa và hiệu quả khá ổn định. Sự ổn định này có thể phản ánh thế bù trừ giữa chi phí thích ứng tăng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Cơ chế này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Nhờ đó, đóng góp của P3 không dừng ở một báo cáo điểm uốn đơn lẻ mà dời câu hỏi nghiên cứu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điều chỉnh H5</w:t>
      </w:r>
      <w:r>
        <w:t xml:space="preserve">: thể chế không chỉ dịch chuyển vị trí điểm uốn mà còn quyết định</w:t>
      </w:r>
      <w:r>
        <w:t xml:space="preserve"> </w:t>
      </w:r>
      <w:r>
        <w:rPr>
          <w:bCs/>
          <w:b/>
        </w:rPr>
        <w:t xml:space="preserve">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Ba mức bằng chứng (điểm uốn ổn định trong dải 43,6–51,5%, điểm uốn trơ trước năng lực và đặc trưng quản lý, và cấu trúc ba vùng theo chế độ thể chế) cùng chỉ về một kết luận: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tương ứng ba cơ chế kinh tế: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đúng vùng mà gần như toàn bộ doanh nghiệp đảo nhỏ hoạt động,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dạng \cap,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(dạng</w:t>
      </w:r>
      <w:r>
        <w:t xml:space="preserve"> </w:t>
      </w:r>
      <m:oMath>
        <m:r>
          <m:rPr>
            <m:sty m:val="p"/>
          </m:rPr>
          <m:t>∩</m:t>
        </m:r>
      </m:oMath>
      <w:r>
        <w:t xml:space="preserve">,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bằng chứng cấp doanh nghiệp còn thiếu cho các phân tích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khái niệm gánh nặng quốc tế hóa bắt buộc có giá trị định hướng,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Theo cách đọc này, điều thoạt nhìn mâu thuẫn (một nền Nhóm IV khởi đầu với điểm uốn kiểu Nhóm I) lại trở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câu hỏi then chốt về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nhất quán với bằng chứng vĩ mô độc lập gần nhất. Tam giác hóa này củng cố tính giá trị của khung ICRV và gắn đóng góp của luận án với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2026-06-30T16:53:01Z</dcterms:created>
  <dcterms:modified xsi:type="dcterms:W3CDTF">2026-06-30T16:53:01Z</dcterms:modified>
</cp:coreProperties>
</file>

<file path=docProps/custom.xml><?xml version="1.0" encoding="utf-8"?>
<Properties xmlns="http://schemas.openxmlformats.org/officeDocument/2006/custom-properties" xmlns:vt="http://schemas.openxmlformats.org/officeDocument/2006/docPropsVTypes"/>
</file>