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r>
        <w:pict>
          <v:rect style="width:0;height:1.5pt" o:hralign="center" o:hrstd="t" o:hr="t"/>
        </w:pict>
      </w:r>
    </w:p>
    <w:p>
      <w:pPr>
        <w:pStyle w:val="FirstParagraph"/>
      </w:pPr>
      <w:r>
        <w:rPr>
          <w:bCs/>
          <w:b/>
        </w:rPr>
        <w:t xml:space="preserve">Submission of Manuscript: "The Export Intensity–Performance Relationship in Chinese Private Firms: A Threshold-Stability Perspective"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export intensity–performance relationship across four waves of World Bank Enterprise Survey data for Chinese private manufacturing firms (2003, 2006, 2012, 2024), with a focus on the stability of nonlinear turning points and the moderating roles of technological capability and digital adoption.</w:t>
      </w:r>
    </w:p>
    <w:p>
      <w:pPr>
        <w:pStyle w:val="BodyText"/>
      </w:pPr>
      <w:r>
        <w:rPr>
          <w:bCs/>
          <w:b/>
        </w:rPr>
        <w:t xml:space="preserve">Relevance to IJOEM</w:t>
      </w:r>
    </w:p>
    <w:p>
      <w:pPr>
        <w:pStyle w:val="BodyText"/>
      </w:pPr>
      <w:r>
        <w:t xml:space="preserve">The study contributes directly to IJOEM's core interest in firm-level dynamics in emerging markets. China's private manufacturing sector represents one of the largest and most institutionally complex emerging-market contexts for I–P research, and four-wave longitudinal coverage (2003–2024) allows the study to track how the curvilinear I–P relationship evolves alongside China's institutional and digital transition — a question of direct relevance to IJOEM's readership. The study also advances understanding of how foundational digital adoption and technological capability operate differently in China relative to less and more advanced emerging economies, extending prior IJOEM contributions on Chinese internationalisation.</w:t>
      </w:r>
    </w:p>
    <w:p>
      <w:pPr>
        <w:pStyle w:val="BodyText"/>
      </w:pPr>
      <w:r>
        <w:rPr>
          <w:bCs/>
          <w:b/>
        </w:rPr>
        <w:t xml:space="preserve">Key Contributions</w:t>
      </w:r>
    </w:p>
    <w:p>
      <w:pPr>
        <w:pStyle w:val="BodyText"/>
      </w:pPr>
      <w:r>
        <w:t xml:space="preserve">First, a robust inverted-U relationship between export intensity and labour productivity is confirmed across all four waves, with turning points clustered at 47–49% of direct export intensity. The stability of the threshold across 21 years of institutional and technological change — and the absence of a statistically distinguishable shift in the turning point across waves (Paternoster z = 0.85, p = .545 between 2003 and 2024) — provides unusually strong evidence for the durability of the coordination-cost mechanism in a rapidly changing emerging-market context.</w:t>
      </w:r>
    </w:p>
    <w:p>
      <w:pPr>
        <w:pStyle w:val="BodyText"/>
      </w:pPr>
      <w:r>
        <w:t xml:space="preserve">Second, technological capability (TCI) has a consistent positive association with labour productivity across all waves (β = 0.28 to 0.43, increasing over time), and the TCI–productivity association is statistically distinguishable across waves (Paternoster z-test p = .011 between 2006 and 2024), suggesting that the returns to technological capability increase as China's institutional environment develops. This is consistent with a resource-based reading in which absorptive capacity becomes more productive as market institutions support more knowledge-intensive production.</w:t>
      </w:r>
    </w:p>
    <w:p>
      <w:pPr>
        <w:pStyle w:val="BodyText"/>
      </w:pPr>
      <w:r>
        <w:t xml:space="preserve">Third, digital adoption (DAI) appears primarily as a control in the Chinese context — consistent with the Conditional Digital Capability Moderation (CDCM) framework's prediction that in economies where internet diffusion is widespread but foundational digital infrastructure (websites, electronic payments) may still be heterogeneous, the selection effect dominates the causal productivity premium. This finding complements P3 Vietnam (IV-null DAI) and P4 Singapore (DAI as high-export contingent resource), providing three-country triangulation of the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7,200 words</w:t>
      </w:r>
    </w:p>
    <w:p>
      <w:pPr>
        <w:numPr>
          <w:ilvl w:val="0"/>
          <w:numId w:val="1001"/>
        </w:numPr>
        <w:pStyle w:val="Compact"/>
      </w:pPr>
      <w:r>
        <w:t xml:space="preserve">Tables: 3; Figures: 4</w:t>
      </w:r>
    </w:p>
    <w:p>
      <w:pPr>
        <w:numPr>
          <w:ilvl w:val="0"/>
          <w:numId w:val="1001"/>
        </w:numPr>
        <w:pStyle w:val="Compact"/>
      </w:pPr>
      <w:r>
        <w:t xml:space="preserve">Keywords: export intensity; firm performance; technological capability; digital adoption; China; emerging markets</w:t>
      </w:r>
    </w:p>
    <w:p>
      <w:pPr>
        <w:numPr>
          <w:ilvl w:val="0"/>
          <w:numId w:val="1001"/>
        </w:numPr>
        <w:pStyle w:val="Compact"/>
      </w:pPr>
      <w:r>
        <w:t xml:space="preserve">JEL classification: F23, O33, L25, O53, P31</w:t>
      </w:r>
    </w:p>
    <w:p>
      <w:pPr>
        <w:pStyle w:val="FirstParagraph"/>
      </w:pPr>
      <w:r>
        <w:t xml:space="preserve">We hope the manuscript will be of interest to IJOEM's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2026-05-15T07:00:20Z</dcterms:created>
  <dcterms:modified xsi:type="dcterms:W3CDTF">2026-05-15T07:00:20Z</dcterms:modified>
</cp:coreProperties>
</file>

<file path=docProps/custom.xml><?xml version="1.0" encoding="utf-8"?>
<Properties xmlns="http://schemas.openxmlformats.org/officeDocument/2006/custom-properties" xmlns:vt="http://schemas.openxmlformats.org/officeDocument/2006/docPropsVTypes"/>
</file>