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Q3 2026</w:t>
      </w:r>
    </w:p>
    <w:p>
      <w:pPr>
        <w:pStyle w:val="BodyText"/>
      </w:pPr>
      <w:r>
        <w:t xml:space="preserve">The Editors-in-Chief</w:t>
      </w:r>
      <w:r>
        <w:t xml:space="preserve"> </w:t>
      </w:r>
      <w:r>
        <w:rPr>
          <w:iCs/>
          <w:i/>
        </w:rPr>
        <w:t xml:space="preserve">Management International Review</w:t>
      </w:r>
      <w:r>
        <w:t xml:space="preserve"> </w:t>
      </w:r>
      <w:r>
        <w:t xml:space="preserve">Springer Gabler</w:t>
      </w:r>
    </w:p>
    <w:p>
      <w:pPr>
        <w:pStyle w:val="BodyText"/>
      </w:pPr>
      <w:r>
        <w:rPr>
          <w:bCs/>
          <w:b/>
        </w:rPr>
        <w:t xml:space="preserve">Submission of Manuscript:</w:t>
      </w:r>
      <w:r>
        <w:t xml:space="preserve"> </w:t>
      </w:r>
      <w:r>
        <w:t xml:space="preserve">"Institutional Context, Digital Adoption, and the Internationalization–Performance Relationship: A Three-Level Meta-Analysis"</w:t>
      </w:r>
    </w:p>
    <w:p>
      <w:pPr>
        <w:pStyle w:val="BodyText"/>
      </w:pPr>
      <w:r>
        <w:t xml:space="preserve">Dear Editors-in-Chief,</w:t>
      </w:r>
    </w:p>
    <w:p>
      <w:pPr>
        <w:pStyle w:val="BodyText"/>
      </w:pPr>
      <w:r>
        <w:t xml:space="preserve">We are pleased to submit the above manuscript for consideration as a Research Article in</w:t>
      </w:r>
      <w:r>
        <w:t xml:space="preserve"> </w:t>
      </w:r>
      <w:r>
        <w:rPr>
          <w:iCs/>
          <w:i/>
        </w:rPr>
        <w:t xml:space="preserve">Management International Review</w:t>
      </w:r>
      <w:r>
        <w:t xml:space="preserve">. The paper reports a pre-registered, three-level meta-analytic regression analysis (MARA) of the internationalization–performance (I-P) relationship across a geographically diverse corpus of</w:t>
      </w:r>
      <w:r>
        <w:t xml:space="preserve"> </w:t>
      </w:r>
      <w:r>
        <w:rPr>
          <w:iCs/>
          <w:i/>
        </w:rPr>
        <w:t xml:space="preserve">k</w:t>
      </w:r>
      <w:r>
        <w:t xml:space="preserve"> </w:t>
      </w:r>
      <w:r>
        <w:t xml:space="preserve">= 238 studies (</w:t>
      </w:r>
      <w:r>
        <w:rPr>
          <w:iCs/>
          <w:i/>
        </w:rPr>
        <w:t xml:space="preserve">K</w:t>
      </w:r>
      <w:r>
        <w:t xml:space="preserve"> </w:t>
      </w:r>
      <w:r>
        <w:t xml:space="preserve">= 288 effect sizes) from 49 economies, and documents a field-level finding about the integrity of the accumulated I-P evidence base in international management research. The analysed corpus is self-contained and definitive for the article's conclusions; a parallel pre-registered WoS + Scopus expansion (Path B) is disclosed for transparency but is treated as a prospective replication corpus rather than as a condition on the current findings.</w:t>
      </w:r>
    </w:p>
    <w:p>
      <w:pPr>
        <w:pStyle w:val="BodyText"/>
      </w:pPr>
      <w:r>
        <w:rPr>
          <w:bCs/>
          <w:b/>
        </w:rPr>
        <w:t xml:space="preserve">Fit with Management International Review.</w:t>
      </w:r>
      <w:r>
        <w:t xml:space="preserve"> </w:t>
      </w:r>
      <w:r>
        <w:t xml:space="preserve">MIR's editorial mission centres on rigorous theoretical and empirical contributions to international management — including meta-analytic syntheses that consolidate, critically appraise, and reframe IB evidence. The I-P relationship is the most meta-analyzed question in IB research, yet pooled positive effects coexist with substantial unresolved heterogeneity. Our contribution is methodological and corrective: we apply a three-level model with full PRISMA 2020 reporting and OSF pre-registration, decompose within- versus between-study variance, and quantify how much of the literature's apparent signal survives a formal publication-bias correction. The findings speak directly to MIR's IB scholarly readership about what four decades of I-P evidence warrant as a basis for theory development and managerial inference.</w:t>
      </w:r>
    </w:p>
    <w:p>
      <w:pPr>
        <w:pStyle w:val="BodyText"/>
      </w:pPr>
      <w:r>
        <w:rPr>
          <w:bCs/>
          <w:b/>
        </w:rPr>
        <w:t xml:space="preserve">Key contributions.</w:t>
      </w:r>
    </w:p>
    <w:p>
      <w:pPr>
        <w:pStyle w:val="BodyText"/>
      </w:pPr>
      <w:r>
        <w:t xml:space="preserve">First, this is the first three-level MARA applied to the I-P literature. Decomposing total heterogeneity (</w:t>
      </w:r>
      <w:r>
        <w:rPr>
          <w:iCs/>
          <w:i/>
        </w:rPr>
        <w:t xml:space="preserve">I</w:t>
      </w:r>
      <w:r>
        <w:t xml:space="preserve">² = 87.8%) shows that the dominant share is</w:t>
      </w:r>
      <w:r>
        <w:t xml:space="preserve"> </w:t>
      </w:r>
      <w:r>
        <w:rPr>
          <w:iCs/>
          <w:i/>
        </w:rPr>
        <w:t xml:space="preserve">within</w:t>
      </w:r>
      <w:r>
        <w:t xml:space="preserve">-study (Level-2</w:t>
      </w:r>
      <w:r>
        <w:t xml:space="preserve"> </w:t>
      </w:r>
      <w:r>
        <w:rPr>
          <w:iCs/>
          <w:i/>
        </w:rPr>
        <w:t xml:space="preserve">I</w:t>
      </w:r>
      <w:r>
        <w:t xml:space="preserve">² = 76.1%) rather than</w:t>
      </w:r>
      <w:r>
        <w:t xml:space="preserve"> </w:t>
      </w:r>
      <w:r>
        <w:rPr>
          <w:iCs/>
          <w:i/>
        </w:rPr>
        <w:t xml:space="preserve">between</w:t>
      </w:r>
      <w:r>
        <w:t xml:space="preserve">-study (Level-3</w:t>
      </w:r>
      <w:r>
        <w:t xml:space="preserve"> </w:t>
      </w:r>
      <w:r>
        <w:rPr>
          <w:iCs/>
          <w:i/>
        </w:rPr>
        <w:t xml:space="preserve">I</w:t>
      </w:r>
      <w:r>
        <w:t xml:space="preserve">² = 11.8%). This evidence reframes how the field should interpret I-P heterogeneity: effect-size dispersion is driven more by within-paper design variation (measurement, sample-frame, model specification) than by between-country contextual differences, with direct implications for how IB scholars should model and report I-P estimates going forward.</w:t>
      </w:r>
    </w:p>
    <w:p>
      <w:pPr>
        <w:pStyle w:val="BodyText"/>
      </w:pPr>
      <w:r>
        <w:t xml:space="preserve">Second, this is the first pre-registered meta-analytic test of three theoretically grounded but previously untested moderators: institutional context regime (ICRV), country-level digital adoption (cDAI), and Digital Paradox Lifecycle (DPL) phase. The hypothesized contingencies are largely</w:t>
      </w:r>
      <w:r>
        <w:t xml:space="preserve"> </w:t>
      </w:r>
      <w:r>
        <w:rPr>
          <w:iCs/>
          <w:i/>
        </w:rPr>
        <w:t xml:space="preserve">not</w:t>
      </w:r>
      <w:r>
        <w:t xml:space="preserve"> </w:t>
      </w:r>
      <w:r>
        <w:t xml:space="preserve">supported: the ICRV between-regime test is statistically significant in the full sample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is fragile to a drop-Frontier sensitivity analysis (</w:t>
      </w:r>
      <w:r>
        <w:rPr>
          <w:iCs/>
          <w:i/>
        </w:rPr>
        <w:t xml:space="preserve">Q</w:t>
      </w:r>
      <w:r>
        <w:t xml:space="preserve">_M = 1.49,</w:t>
      </w:r>
      <w:r>
        <w:t xml:space="preserve"> </w:t>
      </w:r>
      <w:r>
        <w:rPr>
          <w:iCs/>
          <w:i/>
        </w:rPr>
        <w:t xml:space="preserve">p</w:t>
      </w:r>
      <w:r>
        <w:t xml:space="preserve"> </w:t>
      </w:r>
      <w:r>
        <w:t xml:space="preserve">= .68);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These transparent null results bound the conditions under which country-level digital and institutional contingencies could plausibly operate at the meta-analytic level — a contribution that, in our view, is more valuable than yet another set of confirmatory positive moderator effects.</w:t>
      </w:r>
    </w:p>
    <w:p>
      <w:pPr>
        <w:pStyle w:val="BodyText"/>
      </w:pPr>
      <w:r>
        <w:t xml:space="preserve">Third — and most consequential for MIR's IB readership — the analysis documents substantial publication bias.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.074 to</w:t>
      </w:r>
      <w:r>
        <w:t xml:space="preserve"> </w:t>
      </w:r>
      <w:r>
        <w:rPr>
          <w:iCs/>
          <w:i/>
        </w:rPr>
        <w:t xml:space="preserve">r</w:t>
      </w:r>
      <w:r>
        <w:t xml:space="preserve"> </w:t>
      </w:r>
      <w:r>
        <w:t xml:space="preserve">= .035, an implied</w:t>
      </w:r>
      <w:r>
        <w:t xml:space="preserve"> </w:t>
      </w:r>
      <m:oMath>
        <m:r>
          <m:rPr>
            <m:sty m:val="p"/>
          </m:rPr>
          <m:t>≈</m:t>
        </m:r>
      </m:oMath>
      <w:r>
        <w:t xml:space="preserve"> </w:t>
      </w:r>
      <w:r>
        <w:t xml:space="preserve">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The interpretation is that four decades of I-P evidence may be materially inflated by publication selection. For IB theory: residual heterogeneity in the I-P literature plausibly reflects publication-side selection more than the substantive contextual moderators (institutional development, digital readiness, governance quality) commonly invoked. For managerial inference: the bias-corrected average performance return to internationalization is meaningfully smaller than the published evidence base suggests.</w:t>
      </w:r>
    </w:p>
    <w:p>
      <w:pPr>
        <w:pStyle w:val="BodyText"/>
      </w:pPr>
      <w:r>
        <w:rPr>
          <w:bCs/>
          <w:b/>
        </w:rPr>
        <w:t xml:space="preserve">Manuscript readiness.</w:t>
      </w:r>
    </w:p>
    <w:p>
      <w:pPr>
        <w:numPr>
          <w:ilvl w:val="0"/>
          <w:numId w:val="1001"/>
        </w:numPr>
        <w:pStyle w:val="Compact"/>
      </w:pPr>
      <w:r>
        <w:t xml:space="preserve">The manuscript adopts a structured abstract format (Purpose / Design / Findings / Limitations / Implications / Originality) compatible with MIR's house style.</w:t>
      </w:r>
    </w:p>
    <w:p>
      <w:pPr>
        <w:numPr>
          <w:ilvl w:val="0"/>
          <w:numId w:val="1001"/>
        </w:numPr>
        <w:pStyle w:val="Compact"/>
      </w:pPr>
      <w:r>
        <w:t xml:space="preserve">Main-text prose is</w:t>
      </w:r>
      <w:r>
        <w:t xml:space="preserve"> </w:t>
      </w:r>
      <m:oMath>
        <m:r>
          <m:rPr>
            <m:sty m:val="p"/>
          </m:rPr>
          <m:t>≈</m:t>
        </m:r>
      </m:oMath>
      <w:r>
        <w:t xml:space="preserve"> </w:t>
      </w:r>
      <w:r>
        <w:t xml:space="preserve">11,700 words; total Emerald-equivalent count (incl. references + 9 tables + 6 figures,</w:t>
      </w:r>
      <w:r>
        <w:t xml:space="preserve"> </w:t>
      </w:r>
      <m:oMath>
        <m:r>
          <m:rPr>
            <m:sty m:val="p"/>
          </m:rPr>
          <m:t>≈</m:t>
        </m:r>
      </m:oMath>
      <w:r>
        <w:t xml:space="preserve"> </w:t>
      </w:r>
      <w:r>
        <w:t xml:space="preserve">280 word-equivalents each) is</w:t>
      </w:r>
      <w:r>
        <w:t xml:space="preserve"> </w:t>
      </w:r>
      <m:oMath>
        <m:r>
          <m:rPr>
            <m:sty m:val="p"/>
          </m:rPr>
          <m:t>≈</m:t>
        </m:r>
      </m:oMath>
      <w:r>
        <w:t xml:space="preserve"> </w:t>
      </w:r>
      <w:r>
        <w:t xml:space="preserve">17,000. The submission build will streamline to MIR's</w:t>
      </w:r>
      <w:r>
        <w:t xml:space="preserve"> </w:t>
      </w:r>
      <m:oMath>
        <m:r>
          <m:rPr>
            <m:sty m:val="p"/>
          </m:rPr>
          <m:t>≈</m:t>
        </m:r>
      </m:oMath>
      <w:r>
        <w:t xml:space="preserve"> </w:t>
      </w:r>
      <w:r>
        <w:t xml:space="preserve">12,000-word total target via three measures: (i) migrating Appendices A–C (PRISMA trace, full coding protocol, MetaEssentials-versus-</w:t>
      </w:r>
      <w:r>
        <w:rPr>
          <w:iCs/>
          <w:i/>
        </w:rPr>
        <w:t xml:space="preserve">metafor</w:t>
      </w:r>
      <w:r>
        <w:t xml:space="preserve"> </w:t>
      </w:r>
      <w:r>
        <w:t xml:space="preserve">consistency check) to OSF supplementary materials; (ii) condensing Theory §2 overlap and Method §3.5–3.7 technical detail; and (iii) moving 3–4 secondary tables to OSF supplementary tables.</w:t>
      </w:r>
    </w:p>
    <w:p>
      <w:pPr>
        <w:numPr>
          <w:ilvl w:val="0"/>
          <w:numId w:val="1001"/>
        </w:numPr>
        <w:pStyle w:val="Compact"/>
      </w:pPr>
      <w:r>
        <w:t xml:space="preserve">Single-coder extraction is transparently disclosed in Methods and Limitations; coding quality is supported by protocol calibration on a pilot set and double-entry verification against source PDFs.</w:t>
      </w:r>
    </w:p>
    <w:p>
      <w:pPr>
        <w:numPr>
          <w:ilvl w:val="0"/>
          <w:numId w:val="1001"/>
        </w:numPr>
        <w:pStyle w:val="Compact"/>
      </w:pPr>
      <w:r>
        <w:t xml:space="preserve">The pre-registration (</w:t>
      </w:r>
      <w:hyperlink r:id="rId20">
        <w:r>
          <w:rPr>
            <w:rStyle w:val="Hyperlink"/>
          </w:rPr>
          <w:t xml:space="preserve">https://osf.io/z37kn;</w:t>
        </w:r>
      </w:hyperlink>
      <w:r>
        <w:t xml:space="preserve"> </w:t>
      </w:r>
      <w:r>
        <w:t xml:space="preserve">DOI: 10.17605/OSF.IO/Z37KN), study database, R replication scripts (</w:t>
      </w:r>
      <w:r>
        <w:rPr>
          <w:iCs/>
          <w:i/>
        </w:rPr>
        <w:t xml:space="preserve">metafor</w:t>
      </w:r>
      <w:r>
        <w:t xml:space="preserve">), and an independent Python cross-check (</w:t>
      </w:r>
      <w:r>
        <w:rPr>
          <w:rStyle w:val="VerbatimChar"/>
        </w:rPr>
        <w:t xml:space="preserve">verify_moderator_qm.py</w:t>
      </w:r>
      <w:r>
        <w:t xml:space="preserve">) are openly available on OSF.</w:t>
      </w:r>
    </w:p>
    <w:p>
      <w:pPr>
        <w:pStyle w:val="FirstParagraph"/>
      </w:pPr>
      <w:r>
        <w:rPr>
          <w:bCs/>
          <w:b/>
        </w:rPr>
        <w:t xml:space="preserve">Originality, ethics, and conflicts of interest.</w:t>
      </w:r>
      <w:r>
        <w:t xml:space="preserve"> </w:t>
      </w:r>
      <w:r>
        <w:t xml:space="preserve">This manuscript is original, has not been published previously, and is not under consideration elsewhere. Both authors approved the submission. The authors declare no conflict of interest. The research received no specific grant from any funding agency in the public, commercial, or not-for-profit sectors. The work is a secondary meta-analysis of previously published aggregate effect sizes; no primary data collection from human or animal subjects was conducted.</w:t>
      </w:r>
    </w:p>
    <w:p>
      <w:pPr>
        <w:pStyle w:val="BodyText"/>
      </w:pPr>
      <w:r>
        <w:rPr>
          <w:bCs/>
          <w:b/>
        </w:rPr>
        <w:t xml:space="preserve">Manuscript classification.</w:t>
      </w:r>
    </w:p>
    <w:p>
      <w:pPr>
        <w:numPr>
          <w:ilvl w:val="0"/>
          <w:numId w:val="1002"/>
        </w:numPr>
        <w:pStyle w:val="Compact"/>
      </w:pPr>
      <w:r>
        <w:t xml:space="preserve">Article type: Research Article (meta-analysis)</w:t>
      </w:r>
    </w:p>
    <w:p>
      <w:pPr>
        <w:numPr>
          <w:ilvl w:val="0"/>
          <w:numId w:val="1002"/>
        </w:numPr>
        <w:pStyle w:val="Compact"/>
      </w:pPr>
      <w:r>
        <w:t xml:space="preserve">Studies (</w:t>
      </w:r>
      <w:r>
        <w:rPr>
          <w:iCs/>
          <w:i/>
        </w:rPr>
        <w:t xml:space="preserve">k</w:t>
      </w:r>
      <w:r>
        <w:t xml:space="preserve">): 238; effect sizes (</w:t>
      </w:r>
      <w:r>
        <w:rPr>
          <w:iCs/>
          <w:i/>
        </w:rPr>
        <w:t xml:space="preserve">K</w:t>
      </w:r>
      <w:r>
        <w:t xml:space="preserve">): 288; economies: 49</w:t>
      </w:r>
    </w:p>
    <w:p>
      <w:pPr>
        <w:numPr>
          <w:ilvl w:val="0"/>
          <w:numId w:val="1002"/>
        </w:numPr>
        <w:pStyle w:val="Compact"/>
      </w:pPr>
      <w:r>
        <w:t xml:space="preserve">Keywords: internationalization–performance; meta-analysis; three-level model; digital adoption; institutional context; publication bias</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t xml:space="preserve">Đỗ Thị Thúy Hương (Do Thi Thuy Huong)</w:t>
      </w:r>
      <w:r>
        <w:t xml:space="preserve"> </w:t>
      </w:r>
      <w:r>
        <w:t xml:space="preserve">PhD Candidate, College of Economics, Can Tho University (CTU), Vietnam</w:t>
      </w:r>
      <w:r>
        <w:t xml:space="preserve"> </w:t>
      </w:r>
      <w:r>
        <w:t xml:space="preserve">Email:</w:t>
      </w:r>
      <w:r>
        <w:t xml:space="preserve"> </w:t>
      </w:r>
      <w:hyperlink r:id="rId21">
        <w:r>
          <w:rPr>
            <w:rStyle w:val="Hyperlink"/>
          </w:rPr>
          <w:t xml:space="preserve">huongp1323001@gstudent.ctu.edu.vn</w:t>
        </w:r>
      </w:hyperlink>
      <w:r>
        <w:t xml:space="preserve"> </w:t>
      </w:r>
      <w:r>
        <w:t xml:space="preserve">| ORCID: 0000-0002-7711-2487</w:t>
      </w:r>
    </w:p>
    <w:p>
      <w:pPr>
        <w:pStyle w:val="BodyText"/>
      </w:pPr>
      <w:r>
        <w:t xml:space="preserve">PGS.TS. Phan Anh Tú (Phan Anh Tu)</w:t>
      </w:r>
      <w:r>
        <w:t xml:space="preserve"> </w:t>
      </w:r>
      <w:r>
        <w:t xml:space="preserve">Associate Professor, College of Economics, Can Tho University (CTU), Vietnam — Corresponding author</w:t>
      </w:r>
      <w:r>
        <w:t xml:space="preserve"> </w:t>
      </w:r>
      <w:r>
        <w:t xml:space="preserve">Email:</w:t>
      </w:r>
      <w:r>
        <w:t xml:space="preserve"> </w:t>
      </w:r>
      <w:hyperlink r:id="rId22">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2026-05-30T18:22:59Z</dcterms:created>
  <dcterms:modified xsi:type="dcterms:W3CDTF">2026-05-30T18:22:59Z</dcterms:modified>
</cp:coreProperties>
</file>

<file path=docProps/custom.xml><?xml version="1.0" encoding="utf-8"?>
<Properties xmlns="http://schemas.openxmlformats.org/officeDocument/2006/custom-properties" xmlns:vt="http://schemas.openxmlformats.org/officeDocument/2006/docPropsVTypes"/>
</file>