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t xml:space="preserve">The conventional inverted-U between internationalization intensity and firm performance rests on three structural prerequisites: a viable domestic market, manageable trade costs, and functional institutions. When all three are absent at once, as in Pacific Small Island Developing States (SIDS), the non-linear pattern collapses into a monotone negative relationship, which we term the Forced Internationalization Penalty (FIP): not a transient phase-1 learning cost, but a persistent structural condition arising from the compulsion to export despite systemic disadvantage. Using World Bank Enterprise Survey data from 1,469 firms across nine Pacific SIDS (2009–2025), internationalization intensity is robustly negatively associated with labour productivity (</w:t>
      </w:r>
      <m:oMath>
        <m:r>
          <m:t>β</m:t>
        </m:r>
      </m:oMath>
      <w:r>
        <w:t xml:space="preserve"> </w:t>
      </w:r>
      <w:r>
        <w:t xml:space="preserve">= −0.404, p = .032, country-and-year fixed effects) with no quadratic curvature. Technological capability and digital adoption, significant moderators in mainland Asia, are null here. These findings reframe the inverted-U as conditional rather than universal and identify boundary conditions for institutional moderation theory.</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which is itself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in which even an initial downward phase-1 slope is transient and eventually gives way to net benefits. Both frameworks share a foundational assumption. The institutional environment, while it may moderate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study challenges that assumption. We argue that certain structural conditions, characteristic of Small Island Developing States (SIDS), eliminate the prerequisites on which the inverted-U logic depends, and that they replace the expected non-linear pattern with a monotone negative one.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absent at once.</w:t>
      </w:r>
    </w:p>
    <w:p>
      <w:pPr>
        <w:pStyle w:val="BodyText"/>
      </w:pPr>
      <w:r>
        <w:t xml:space="preserve">We position FIP as a structural boundary condition rather than a peripheral anomaly. The standard inverted-U describes</w:t>
      </w:r>
      <w:r>
        <w:t xml:space="preserve"> </w:t>
      </w:r>
      <w:r>
        <w:rPr>
          <w:iCs/>
          <w:i/>
        </w:rPr>
        <w:t xml:space="preserve">internationalization-to-scale</w:t>
      </w:r>
      <w:r>
        <w:t xml:space="preserve">: in strong-institution economies, exporting is a profit-optimizing choice, and the descending limb arrives only at a very late turning point because a viable home base, manageable trade costs, and functional institutions allow firms to appropriate scale and learning gains. FIP describes the inverse logic,</w:t>
      </w:r>
      <w:r>
        <w:t xml:space="preserve"> </w:t>
      </w:r>
      <w:r>
        <w:rPr>
          <w:iCs/>
          <w:i/>
        </w:rPr>
        <w:t xml:space="preserve">internationalization-to-survive</w:t>
      </w:r>
      <w:r>
        <w:t xml:space="preserve">: when those same prerequisites are absent, firms are forced to export despite logistics costs so severe that they erode all profit, and the inverted-U collapses into a monotone negative line. The two regimes are not different points on one curve but reflect different combinations of the three structural conditions; conventional theory characterizes the cases in which all three are satisfied, and FIP characterizes cases in which they are not. Empirically, identifying where the curve breaks down clarifies the structural prerequisites the conventional inverted-U logic assumes.</w:t>
      </w:r>
    </w:p>
    <w:p>
      <w:pPr>
        <w:pStyle w:val="BodyText"/>
      </w:pPr>
      <w:r>
        <w:t xml:space="preserve">SIDS offer a theoretically extreme yet empirically underserved context for I-P research. These economies are marked by microscopic domestic markets (Tonga: 104,000 inhabitants; Kiribati: 121,000), by geographic isolation so severe that it amplifies trade costs by 30–210% (Winters &amp; Martins, 2004), and by comprehensive institutional voids that limit firms' ability to appropriate returns from international activities (Briguglio, 1995; Khanna &amp; Palepu, 2010). Recent systematic tracking across 121,249 development data points confirms that these conditions have deepened rather than abated. Progress in 2020–2025 is the slowest on record across 15 of 26 tracked benchmarks, with SIDS and Sub-Saharan Africa disproportionately affected (Pirlea et al., 2026). An independent multi-indicator analysis of six development dimensions, namely poverty, life expectancy, schooling, gender equality, climate, and electricity, finds the world developing at its slowest pace in 75 years; 54 economies remain more than a century from reaching developed-country standards on current trajectories, and SIDS are disproportionately represented in this cohort (Mahler, Serajuddin, Wadhwa, &amp; Yonzan, 2026).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at home. This compulsion, which we describe as survival-based internationalization, reshapes the logic of the I-P relationship.</w:t>
      </w:r>
    </w:p>
    <w:p>
      <w:pPr>
        <w:pStyle w:val="BodyText"/>
      </w:pPr>
      <w:r>
        <w:t xml:space="preserve">This study makes three contributions to the IB literature. First, it provides a structured naming and explicit empirical operationalization for the SIDS internationalization mechanism that the foundational SIDS literature (Briguglio, 1995; Bertram, 2006 MIRAB; Briguglio et al., 2009) has long analysed at the macro level. The three-prerequisite structure (non-viable home market, prohibitive trade costs, comprehensive institutional voids) is established; our contribution is the firm-level operationalization, the FIP label that connects those macro constraints to the sign of the FSTS coefficient in I-P regressions, and the demonstration that this firm-level signature is recoverable in WBES data. We distinguish FIP from adjacent firm-level concepts including phase-1 costs in three-stage theory (Contractor et al., 2003), Liability of Foreignness (Zaheer, 1995), and necessity entrepreneurship (Sarasvathy et al., 2014). Second, it provides empirical evidence from 1,469 firms across nine Pacific SIDS economies using World Bank Enterprise Survey (WBES) data, the most comprehensive firm-level I-P analysis in Pacific SIDS to date. Third, it documents that firm-level capabilities, namely technological capability and digital adoption, do not appear to override FIP. This last result shifts the theoretical conversation from "institutional moderation of the I-P relationship" (Marano, Tallman, &amp; Teece, 2016) toward "institutional determination of the sign of the I-P relationship."</w:t>
      </w:r>
    </w:p>
    <w:p>
      <w:pPr>
        <w:pStyle w:val="BodyText"/>
      </w:pPr>
      <w:r>
        <w:t xml:space="preserve">The findings carry direct policy implications under the Antigua and Barbuda Agenda for SIDS (United Nations General Assembly, 2024). They suggest that strategies premised on export-led growth may be systematically misaligned with the structural realities of Pacific micro-economies.</w:t>
      </w:r>
    </w:p>
    <w:p>
      <w:r>
        <w:pict>
          <v:rect style="width:0;height:1.5pt" o:hralign="center" o:hrstd="t" o:hr="t"/>
        </w:pict>
      </w:r>
    </w:p>
    <w:bookmarkEnd w:id="21"/>
    <w:bookmarkStart w:id="26" w:name="X88086f89d30295b73ade34a6a6d72f6030bebeb"/>
    <w:p>
      <w:pPr>
        <w:pStyle w:val="Heading2"/>
      </w:pPr>
      <w:r>
        <w:t xml:space="preserve">2. Theoretical Background and Hypotheses</w:t>
      </w:r>
    </w:p>
    <w:bookmarkStart w:id="22"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the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 "selection into exporting" assumption underlying most I-P models then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tell a different story. Absent financial intermediaries, unreliable contract enforcement, and limited trade facilitation infrastructure do not merely weaken the inverted-U; they may eliminate the mechanism that generates positive returns from internationalization altogether.</w:t>
      </w:r>
    </w:p>
    <w:bookmarkEnd w:id="22"/>
    <w:bookmarkStart w:id="23"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SIDS firms incur when they export, not the penalty multinationals incur when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so the necessity-driven internationalization path remains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a Forced Internationalization Penalty rather than an inverted-U relationship.</w:t>
      </w:r>
    </w:p>
    <w:bookmarkEnd w:id="24"/>
    <w:bookmarkStart w:id="25"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reach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from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that generates FIP operates at a level firm-level capabilities cannot easily offset. Two labels make this concrete. First, the negative slope is an</w:t>
      </w:r>
      <w:r>
        <w:t xml:space="preserve"> </w:t>
      </w:r>
      <w:r>
        <w:rPr>
          <w:iCs/>
          <w:i/>
        </w:rPr>
        <w:t xml:space="preserve">Isolation Penalty</w:t>
      </w:r>
      <w:r>
        <w:t xml:space="preserve">, a transaction-cost-of-isolation that geographic remoteness imposes on every cross-border transaction (the 30–210% trade-cost amplification), which a compelled exporter must bear permanently rather than amortize away. Second, a digital shield presupposes a minimal payment-and-logistics substrate to function; under the</w:t>
      </w:r>
      <w:r>
        <w:t xml:space="preserve"> </w:t>
      </w:r>
      <w:r>
        <w:rPr>
          <w:iCs/>
          <w:i/>
        </w:rPr>
        <w:t xml:space="preserve">extreme institutional void</w:t>
      </w:r>
      <w:r>
        <w:t xml:space="preserve"> </w:t>
      </w:r>
      <w:r>
        <w:t xml:space="preserve">characteristic of SIDS, that substrate is largely absent, so digital capability cannot substitute for the missing institutions and physical infrastructure.</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X5eb800a903106e48a684e9ea9de39ed619b9df8"/>
    <w:p>
      <w:pPr>
        <w:pStyle w:val="Heading2"/>
      </w:pPr>
      <w:r>
        <w:t xml:space="preserve">3. Data and Methods</w:t>
      </w:r>
    </w:p>
    <w:bookmarkStart w:id="27"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observations with non-missing values for labor productivity, export intensity, and firm age, comprises</w:t>
      </w:r>
      <w:r>
        <w:t xml:space="preserve"> </w:t>
      </w:r>
      <w:r>
        <w:rPr>
          <w:bCs/>
          <w:b/>
        </w:rPr>
        <w:t xml:space="preserve">1,469 firms</w:t>
      </w:r>
      <w:r>
        <w:t xml:space="preserve"> </w:t>
      </w:r>
      <w:r>
        <w:t xml:space="preserve">across multiple country-year waves.</w:t>
      </w:r>
    </w:p>
    <w:bookmarkEnd w:id="27"/>
    <w:bookmarkStart w:id="28"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w:t>
      </w:r>
      <w:r>
        <w:t xml:space="preserve"> </w:t>
      </w:r>
      <m:oMath>
        <m:sSub>
          <m:e>
            <m:r>
              <m:rPr>
                <m:nor/>
                <m:sty m:val="p"/>
              </m:rPr>
              <m:t>FSTS</m:t>
            </m:r>
          </m:e>
          <m:sub>
            <m:r>
              <m:t>c</m:t>
            </m:r>
          </m:sub>
        </m:sSub>
      </m:oMath>
      <w:r>
        <w:t xml:space="preserve"> </w:t>
      </w:r>
      <w:r>
        <w:t xml:space="preserve">=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w:t>
      </w:r>
      <m:oMath>
        <m:sSub>
          <m:e>
            <m:r>
              <m:rPr>
                <m:nor/>
                <m:sty m:val="p"/>
              </m:rPr>
              <m:t>TCI</m:t>
            </m:r>
          </m:e>
          <m:sub>
            <m:r>
              <m:t>z</m:t>
            </m:r>
          </m:sub>
        </m:sSub>
      </m:oMath>
      <w:r>
        <w:rPr>
          <w:bCs/>
          <w:b/>
        </w:rPr>
        <w:t xml:space="preserve">).</w:t>
      </w:r>
      <w:r>
        <w:t xml:space="preserve"> </w:t>
      </w:r>
      <w:r>
        <w:t xml:space="preserve">Following Lall (1992) and Goedhuys and Sleuwaegen (2013), TCI is constructed from two WBES items: b8 (internationally recognized quality certification, binary) and e6 (licensing of foreign technology, binary).</w:t>
      </w:r>
      <w:r>
        <w:t xml:space="preserve"> </w:t>
      </w:r>
      <m:oMath>
        <m:sSub>
          <m:e>
            <m:r>
              <m:rPr>
                <m:nor/>
                <m:sty m:val="p"/>
              </m:rPr>
              <m:t>TCI</m:t>
            </m:r>
          </m:e>
          <m:sub>
            <m:r>
              <m:t>z</m:t>
            </m:r>
          </m:sub>
        </m:sSub>
      </m:oMath>
      <w:r>
        <w:t xml:space="preserve"> </w:t>
      </w:r>
      <w:r>
        <w:t xml:space="preserve">is the z-standardized mean of these two indicators.</w:t>
      </w:r>
    </w:p>
    <w:p>
      <w:pPr>
        <w:pStyle w:val="BodyText"/>
      </w:pPr>
      <w:r>
        <w:rPr>
          <w:bCs/>
          <w:b/>
        </w:rPr>
        <w:t xml:space="preserve">Digital adoption index (</w:t>
      </w:r>
      <m:oMath>
        <m:sSub>
          <m:e>
            <m:r>
              <m:rPr>
                <m:nor/>
                <m:sty m:val="p"/>
              </m:rPr>
              <m:t>DAI</m:t>
            </m:r>
          </m:e>
          <m:sub>
            <m:r>
              <m:t>z</m:t>
            </m:r>
          </m:sub>
        </m:sSub>
      </m:oMath>
      <w:r>
        <w:rPr>
          <w:bCs/>
          <w:b/>
        </w:rPr>
        <w:t xml:space="preserve">).</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w:t>
      </w:r>
      <w:r>
        <w:t xml:space="preserve"> </w:t>
      </w:r>
      <m:oMath>
        <m:sSub>
          <m:e>
            <m:r>
              <m:rPr>
                <m:nor/>
                <m:sty m:val="p"/>
              </m:rPr>
              <m:t>DAI</m:t>
            </m:r>
          </m:e>
          <m:sub>
            <m:r>
              <m:t>z</m:t>
            </m:r>
          </m:sub>
        </m:sSub>
      </m:oMath>
      <w:r>
        <w:t xml:space="preserve"> </w:t>
      </w:r>
      <w:r>
        <w:t xml:space="preserve">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across the full pooled sample. PPP conversion uses World Bank ICP deflators matched to survey year.</w:t>
      </w:r>
      <w:r>
        <w:t xml:space="preserve"> </w:t>
      </w:r>
      <m:oMath>
        <m:sSub>
          <m:e>
            <m:r>
              <m:rPr>
                <m:nor/>
                <m:sty m:val="p"/>
              </m:rPr>
              <m:t>FSTS</m:t>
            </m:r>
          </m:e>
          <m:sub>
            <m:r>
              <m:t>c</m:t>
            </m:r>
          </m:sub>
        </m:sSub>
      </m:oMath>
      <w:r>
        <w:t xml:space="preserve"> </w:t>
      </w:r>
      <w:r>
        <w:t xml:space="preserve">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w:t>
      </w:r>
      <w:r>
        <w:t xml:space="preserve"> </w:t>
      </w:r>
      <m:oMath>
        <m:r>
          <m:t>α</m:t>
        </m:r>
      </m:oMath>
      <w:r>
        <w:t xml:space="preserve"> </w:t>
      </w:r>
      <w:r>
        <w:t xml:space="preserve">+</w:t>
      </w:r>
      <w:r>
        <w:t xml:space="preserve"> </w:t>
      </w:r>
      <m:oMath>
        <m:r>
          <m:t>γ</m:t>
        </m:r>
      </m:oMath>
      <w:r>
        <w:t xml:space="preserve">₁ ln_size_it +</w:t>
      </w:r>
      <w:r>
        <w:t xml:space="preserve"> </w:t>
      </w:r>
      <m:oMath>
        <m:r>
          <m:t>γ</m:t>
        </m:r>
      </m:oMath>
      <w:r>
        <w:t xml:space="preserve">₂ firm_age_it +</w:t>
      </w:r>
      <w:r>
        <w:t xml:space="preserve"> </w:t>
      </w:r>
      <m:oMath>
        <m:r>
          <m:t>γ</m:t>
        </m:r>
      </m:oMath>
      <w:r>
        <w:t xml:space="preserve">₃ foreign_own_pct_it + δ_c +</w:t>
      </w:r>
      <w:r>
        <w:t xml:space="preserve"> </w:t>
      </w:r>
      <m:oMath>
        <m:r>
          <m:t>λ</m:t>
        </m:r>
      </m:oMath>
      <w:r>
        <w:t xml:space="preserve">_t +</w:t>
      </w:r>
      <w:r>
        <w:t xml:space="preserve"> </w:t>
      </w:r>
      <m:oMath>
        <m:r>
          <m:t>ϵ</m:t>
        </m:r>
      </m:oMath>
      <w:r>
        <w:t xml:space="preserve">_it</w:t>
      </w:r>
    </w:p>
    <w:p>
      <w:pPr>
        <w:pStyle w:val="BodyText"/>
      </w:pPr>
      <w:r>
        <w:rPr>
          <w:bCs/>
          <w:b/>
        </w:rPr>
        <w:t xml:space="preserve">M1 (linear FSTS, FIP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M2 (quadratic FSTS, curvature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M3 (capabilities, moderation null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sSub>
          <m:e>
            <m:r>
              <m:t>β</m:t>
            </m:r>
          </m:e>
          <m:sub>
            <m:r>
              <m:t>3</m:t>
            </m:r>
          </m:sub>
        </m:sSub>
      </m:oMath>
      <w:r>
        <w:t xml:space="preserve"> </w:t>
      </w:r>
      <m:oMath>
        <m:sSub>
          <m:e>
            <m:r>
              <m:rPr>
                <m:nor/>
                <m:sty m:val="p"/>
              </m:rPr>
              <m:t>TCI</m:t>
            </m:r>
          </m:e>
          <m:sub>
            <m:r>
              <m:t>z</m:t>
            </m:r>
          </m:sub>
        </m:sSub>
      </m:oMath>
      <w:r>
        <w:t xml:space="preserve">_it +</w:t>
      </w:r>
      <w:r>
        <w:t xml:space="preserve"> </w:t>
      </w:r>
      <m:oMath>
        <m:sSub>
          <m:e>
            <m:r>
              <m:t>β</m:t>
            </m:r>
          </m:e>
          <m:sub>
            <m:r>
              <m:t>4</m:t>
            </m:r>
          </m:sub>
        </m:sSub>
      </m:oMath>
      <w:r>
        <w:t xml:space="preserve"> </w:t>
      </w:r>
      <m:oMath>
        <m:sSub>
          <m:e>
            <m:r>
              <m:rPr>
                <m:nor/>
                <m:sty m:val="p"/>
              </m:rPr>
              <m:t>DAI</m:t>
            </m:r>
          </m:e>
          <m:sub>
            <m:r>
              <m:t>z</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t xml:space="preserve">where δ_c denotes country fixed effects,</w:t>
      </w:r>
      <w:r>
        <w:t xml:space="preserve"> </w:t>
      </w:r>
      <m:oMath>
        <m:r>
          <m:t>λ</m:t>
        </m:r>
      </m:oMath>
      <w:r>
        <w:t xml:space="preserve">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X121719332867ee227f0a04b486098cee978c6e6"/>
    <w:p>
      <w:pPr>
        <w:pStyle w:val="Heading2"/>
      </w:pPr>
      <w:r>
        <w:t xml:space="preserve">4. Results</w:t>
      </w:r>
    </w:p>
    <w:bookmarkStart w:id="31" w:name="Xf031df31c5b8141c05fcebab78842231a9e024a"/>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w:t>
      </w:r>
      <w:r>
        <w:t xml:space="preserve"> </w:t>
      </w:r>
      <m:oMath>
        <m:sSup>
          <m:e>
            <m:r>
              <m:t>R</m:t>
            </m:r>
          </m:e>
          <m:sup>
            <m:r>
              <m:t>2</m:t>
            </m:r>
          </m:sup>
        </m:sSup>
      </m:oMath>
      <w:r>
        <w:t xml:space="preserve"> </w:t>
      </w:r>
      <w:r>
        <w:t xml:space="preserve">increases from 0.511 (year FE only) to 0.799 (country + year FE) when country indicators are added, confirming that 95% of explained productivity variance is between-country, a feature consistent with extreme between-country heterogeneity in institutional quality, geographic remoteness, and economic structure.</w:t>
      </w:r>
    </w:p>
    <w:bookmarkEnd w:id="31"/>
    <w:bookmarkStart w:id="32"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w:t>
      </w:r>
      <w:r>
        <w:t xml:space="preserve"> </w:t>
      </w:r>
      <m:oMath>
        <m:sSup>
          <m:e>
            <m:r>
              <m:t>R</m:t>
            </m:r>
          </m:e>
          <m:sup>
            <m:r>
              <m:t>2</m:t>
            </m:r>
          </m:sup>
        </m:sSup>
      </m:oMath>
      <w:r>
        <w:t xml:space="preserve"> </w:t>
      </w:r>
      <w:r>
        <w:t xml:space="preserve">of 0.7992, and adding</w:t>
      </w:r>
      <w:r>
        <w:t xml:space="preserve"> </w:t>
      </w:r>
      <m:oMath>
        <m:sSub>
          <m:e>
            <m:r>
              <m:rPr>
                <m:nor/>
                <m:sty m:val="p"/>
              </m:rPr>
              <m:t>FSTS</m:t>
            </m:r>
          </m:e>
          <m:sub>
            <m:r>
              <m:t>c</m:t>
            </m:r>
          </m:sub>
        </m:sSub>
      </m:oMath>
      <w:r>
        <w:t xml:space="preserve"> </w:t>
      </w:r>
      <w:r>
        <w:t xml:space="preserve">in M1 marginally increases</w:t>
      </w:r>
      <w:r>
        <w:t xml:space="preserve"> </w:t>
      </w:r>
      <m:oMath>
        <m:sSup>
          <m:e>
            <m:r>
              <m:t>R</m:t>
            </m:r>
          </m:e>
          <m:sup>
            <m:r>
              <m:t>2</m:t>
            </m:r>
          </m:sup>
        </m:sSup>
      </m:oMath>
      <w:r>
        <w:t xml:space="preserve"> </w:t>
      </w:r>
      <w:r>
        <w:t xml:space="preserve">to 0.8001, which indicates that, conditional on country and year fixed effects, FSTS explains limited additional variance but does so in a consistently negative direction.</w:t>
      </w:r>
    </w:p>
    <w:p>
      <w:pPr>
        <w:pStyle w:val="BodyText"/>
      </w:pPr>
      <w:r>
        <w:t xml:space="preserve">Control variable results in M1 are consistent with established evidence: firm age is positively associated with productivity (</w:t>
      </w:r>
      <m:oMath>
        <m:r>
          <m:t>β</m:t>
        </m:r>
      </m:oMath>
      <w:r>
        <w:t xml:space="preserve"> </w:t>
      </w:r>
      <w:r>
        <w:t xml:space="preserve">= +0.009, p = .052); foreign ownership shows a marginally negative association (</w:t>
      </w:r>
      <m:oMath>
        <m:r>
          <m:t>β</m:t>
        </m:r>
      </m:oMath>
      <w:r>
        <w:t xml:space="preserve"> </w:t>
      </w:r>
      <w:r>
        <w:t xml:space="preserve">= −0.006, p = .056), perhaps reflecting thin foreign investment efficiency in SIDS contexts; firm size is positive but non-significant (</w:t>
      </w:r>
      <m:oMath>
        <m:r>
          <m:t>β</m:t>
        </m:r>
      </m:oMath>
      <w:r>
        <w:t xml:space="preserve"> </w:t>
      </w:r>
      <w:r>
        <w:t xml:space="preserve">= +0.082, p = .242).</w:t>
      </w:r>
    </w:p>
    <w:bookmarkEnd w:id="32"/>
    <w:bookmarkStart w:id="33" w:name="X278b3f0cc4133671f70c21e2e288fdaa4a06e72"/>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w:t>
      </w:r>
      <w:r>
        <w:t xml:space="preserve"> </w:t>
      </w:r>
      <m:oMath>
        <m:sSubSup>
          <m:e>
            <m:r>
              <m:rPr>
                <m:nor/>
                <m:sty m:val="p"/>
              </m:rPr>
              <m:t>FSTS</m:t>
            </m:r>
          </m:e>
          <m:sub>
            <m:r>
              <m:t>c</m:t>
            </m:r>
          </m:sub>
          <m:sup>
            <m:r>
              <m:t>2</m:t>
            </m:r>
          </m:sup>
        </m:sSubSup>
      </m:oMath>
      <w:r>
        <w:t xml:space="preserve"> </w:t>
      </w:r>
      <w:r>
        <w:t xml:space="preserve">to test whether the negative I-P relationship is eventually reversed, i.e., whether there is any inverted-U pattern with the positive portion below our data range.</w:t>
      </w:r>
    </w:p>
    <w:p>
      <w:pPr>
        <w:pStyle w:val="BodyText"/>
      </w:pPr>
      <w:r>
        <w:t xml:space="preserve">The results are:</w:t>
      </w:r>
      <w:r>
        <w:t xml:space="preserve"> </w:t>
      </w:r>
      <m:oMath>
        <m:r>
          <m:t>β</m:t>
        </m:r>
      </m:oMath>
      <w:r>
        <w:t xml:space="preserve">(</w:t>
      </w:r>
      <m:oMath>
        <m:sSub>
          <m:e>
            <m:r>
              <m:rPr>
                <m:nor/>
                <m:sty m:val="p"/>
              </m:rPr>
              <m:t>FSTS</m:t>
            </m:r>
          </m:e>
          <m:sub>
            <m:r>
              <m:t>c</m:t>
            </m:r>
          </m:sub>
        </m:sSub>
      </m:oMath>
      <w:r>
        <w:t xml:space="preserve">) = −0.925, SE = 0.828, p = .265 (n.s.)</w:t>
      </w:r>
      <w:r>
        <w:t xml:space="preserve"> </w:t>
      </w:r>
      <m:oMath>
        <m:r>
          <m:t>β</m:t>
        </m:r>
      </m:oMath>
      <w:r>
        <w:t xml:space="preserve">(</w:t>
      </w:r>
      <m:oMath>
        <m:sSubSup>
          <m:e>
            <m:r>
              <m:rPr>
                <m:nor/>
                <m:sty m:val="p"/>
              </m:rPr>
              <m:t>FSTS</m:t>
            </m:r>
          </m:e>
          <m:sub>
            <m:r>
              <m:t>c</m:t>
            </m:r>
          </m:sub>
          <m:sup>
            <m:r>
              <m:t>2</m:t>
            </m:r>
          </m:sup>
        </m:sSubSup>
      </m:oMath>
      <w:r>
        <w:t xml:space="preserve">)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1"/>
        </w:numPr>
        <w:pStyle w:val="Compact"/>
      </w:pPr>
      <w:r>
        <w:rPr>
          <w:bCs/>
          <w:b/>
        </w:rPr>
        <w:t xml:space="preserve">C1</w:t>
      </w:r>
      <w:r>
        <w:t xml:space="preserve"> </w:t>
      </w:r>
      <w:r>
        <w:t xml:space="preserve">(positive slope at low FSTS):</w:t>
      </w:r>
      <w:r>
        <w:t xml:space="preserve"> </w:t>
      </w:r>
      <m:oMath>
        <m:r>
          <m:t>β</m:t>
        </m:r>
      </m:oMath>
      <w:r>
        <w:t xml:space="preserve">(</w:t>
      </w:r>
      <m:oMath>
        <m:sSub>
          <m:e>
            <m:r>
              <m:rPr>
                <m:nor/>
                <m:sty m:val="p"/>
              </m:rPr>
              <m:t>FSTS</m:t>
            </m:r>
          </m:e>
          <m:sub>
            <m:r>
              <m:t>c</m:t>
            </m:r>
          </m:sub>
        </m:sSub>
      </m:oMath>
      <w:r>
        <w:t xml:space="preserve">) = −0.925 (</w:t>
      </w:r>
      <w:r>
        <w:rPr>
          <w:iCs/>
          <w:i/>
        </w:rPr>
        <w:t xml:space="preserve">p</w:t>
      </w:r>
      <w:r>
        <w:t xml:space="preserve"> </w:t>
      </w:r>
      <w:r>
        <w:t xml:space="preserve">= .265),</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w:t>
      </w:r>
      <w:r>
        <w:t xml:space="preserve"> </w:t>
      </w:r>
      <m:oMath>
        <m:sSub>
          <m:e>
            <m:r>
              <m:t>β</m:t>
            </m:r>
          </m:e>
          <m:sub>
            <m:r>
              <m:t>2</m:t>
            </m:r>
          </m:sub>
        </m:sSub>
      </m:oMath>
      <w:r>
        <w:t xml:space="preserve"> </w:t>
      </w:r>
      <w:r>
        <w:t xml:space="preserve">&lt; 0):</w:t>
      </w:r>
      <w:r>
        <w:t xml:space="preserve"> </w:t>
      </w:r>
      <m:oMath>
        <m:r>
          <m:t>β</m:t>
        </m:r>
      </m:oMath>
      <w:r>
        <w:t xml:space="preserve">(</w:t>
      </w:r>
      <m:oMath>
        <m:sSubSup>
          <m:e>
            <m:r>
              <m:rPr>
                <m:nor/>
                <m:sty m:val="p"/>
              </m:rPr>
              <m:t>FSTS</m:t>
            </m:r>
          </m:e>
          <m:sub>
            <m:r>
              <m:t>c</m:t>
            </m:r>
          </m:sub>
          <m:sup>
            <m:r>
              <m:t>2</m:t>
            </m:r>
          </m:sup>
        </m:sSubSup>
      </m:oMath>
      <w:r>
        <w:t xml:space="preserve">) = +0.649 (</w:t>
      </w:r>
      <w:r>
        <w:rPr>
          <w:iCs/>
          <w:i/>
        </w:rPr>
        <w:t xml:space="preserve">p</w:t>
      </w:r>
      <w:r>
        <w:t xml:space="preserve"> </w:t>
      </w:r>
      <w:r>
        <w:t xml:space="preserve">= .508),</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−(−0.925) / (2</w:t>
      </w:r>
      <w:r>
        <w:t xml:space="preserve"> </w:t>
      </w:r>
      <m:oMath>
        <m:r>
          <m:rPr>
            <m:sty m:val="p"/>
          </m:rPr>
          <m:t>×</m:t>
        </m:r>
      </m:oMath>
      <w:r>
        <w:t xml:space="preserve"> </w:t>
      </w:r>
      <w:r>
        <w:t xml:space="preserve">0.649) = 0.712,</w:t>
      </w:r>
      <w:r>
        <w:t xml:space="preserve"> </w:t>
      </w:r>
      <w:r>
        <w:rPr>
          <w:bCs/>
          <w:b/>
        </w:rPr>
        <w:t xml:space="preserve">implied turning point lies outside the observed sample maximum (</w:t>
      </w:r>
      <m:oMath>
        <m:sSub>
          <m:e>
            <m:r>
              <m:rPr>
                <m:nor/>
                <m:sty m:val="p"/>
              </m:rPr>
              <m:t>FSTS</m:t>
            </m:r>
          </m:e>
          <m:sub>
            <m:r>
              <m:t>m</m:t>
            </m:r>
          </m:sub>
        </m:sSub>
      </m:oMath>
      <w:r>
        <w:rPr>
          <w:bCs/>
          <w:b/>
        </w:rPr>
        <w:t xml:space="preserve">ax</w:t>
      </w:r>
      <w:r>
        <w:rPr>
          <w:bCs/>
          <w:b/>
        </w:rPr>
        <w:t xml:space="preserve"> </w:t>
      </w:r>
      <m:oMath>
        <m:r>
          <m:rPr>
            <m:sty m:val="p"/>
          </m:rPr>
          <m:t>≈</m:t>
        </m:r>
      </m:oMath>
      <w:r>
        <w:rPr>
          <w:bCs/>
          <w:b/>
        </w:rPr>
        <w:t xml:space="preserve"> </w:t>
      </w:r>
      <w:r>
        <w:rPr>
          <w:bCs/>
          <w:b/>
        </w:rPr>
        <w:t xml:space="preserve">0.80, but neither</w:t>
      </w:r>
      <w:r>
        <w:rPr>
          <w:bCs/>
          <w:b/>
        </w:rPr>
        <w:t xml:space="preserve"> </w:t>
      </w:r>
      <m:oMath>
        <m:sSub>
          <m:e>
            <m:r>
              <m:t>β</m:t>
            </m:r>
          </m:e>
          <m:sub>
            <m:r>
              <m:t>1</m:t>
            </m:r>
          </m:sub>
        </m:sSub>
      </m:oMath>
      <w:r>
        <w:rPr>
          <w:bCs/>
          <w:b/>
        </w:rPr>
        <w:t xml:space="preserve"> </w:t>
      </w:r>
      <w:r>
        <w:rPr>
          <w:bCs/>
          <w:b/>
        </w:rPr>
        <w:t xml:space="preserve">nor</w:t>
      </w:r>
      <w:r>
        <w:rPr>
          <w:bCs/>
          <w:b/>
        </w:rPr>
        <w:t xml:space="preserve"> </w:t>
      </w:r>
      <m:oMath>
        <m:sSub>
          <m:e>
            <m:r>
              <m:t>β</m:t>
            </m:r>
          </m:e>
          <m:sub>
            <m:r>
              <m:t>2</m:t>
            </m:r>
          </m:sub>
        </m:sSub>
      </m:oMath>
      <w:r>
        <w:rPr>
          <w:bCs/>
          <w:b/>
        </w:rPr>
        <w:t xml:space="preserve"> </w:t>
      </w:r>
      <w:r>
        <w:rPr>
          <w:bCs/>
          <w:b/>
        </w:rPr>
        <w:t xml:space="preserve">is statistically significant)</w:t>
      </w:r>
    </w:p>
    <w:p>
      <w:pPr>
        <w:numPr>
          <w:ilvl w:val="0"/>
          <w:numId w:val="1001"/>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3"/>
    <w:bookmarkStart w:id="34"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which might absorb too much structural variation, yields a substantially larger negative effect:</w:t>
      </w:r>
    </w:p>
    <w:p>
      <w:pPr>
        <w:pStyle w:val="BodyText"/>
      </w:pPr>
      <m:oMath>
        <m:r>
          <m:t>β</m:t>
        </m:r>
      </m:oMath>
      <w:r>
        <w:t xml:space="preserve">(FSTS)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m:oMath>
        <m:r>
          <m:t>β</m:t>
        </m:r>
      </m:oMath>
      <w:r>
        <w:t xml:space="preserve">(FSTS)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which is the hallmark of the FIP mechanism rather than of adverse selection.</w:t>
      </w:r>
    </w:p>
    <w:bookmarkEnd w:id="34"/>
    <w:bookmarkStart w:id="35"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as additional regressors to test H2. Neither variable achieves statistical significance:</w:t>
      </w:r>
    </w:p>
    <w:p>
      <w:pPr>
        <w:pStyle w:val="BodyText"/>
      </w:pPr>
      <m:oMath>
        <m:r>
          <m:t>β</m:t>
        </m:r>
      </m:oMath>
      <w:r>
        <w:t xml:space="preserve">(</w:t>
      </w:r>
      <m:oMath>
        <m:sSub>
          <m:e>
            <m:r>
              <m:rPr>
                <m:nor/>
                <m:sty m:val="p"/>
              </m:rPr>
              <m:t>TCI</m:t>
            </m:r>
          </m:e>
          <m:sub>
            <m:r>
              <m:t>z</m:t>
            </m:r>
          </m:sub>
        </m:sSub>
      </m:oMath>
      <w:r>
        <w:t xml:space="preserve">) = +0.058, SE = 0.085, p = .495 (n.s.)</w:t>
      </w:r>
      <w:r>
        <w:t xml:space="preserve"> </w:t>
      </w:r>
      <m:oMath>
        <m:r>
          <m:t>β</m:t>
        </m:r>
      </m:oMath>
      <w:r>
        <w:t xml:space="preserve">(</w:t>
      </w:r>
      <m:oMath>
        <m:sSub>
          <m:e>
            <m:r>
              <m:rPr>
                <m:nor/>
                <m:sty m:val="p"/>
              </m:rPr>
              <m:t>DAI</m:t>
            </m:r>
          </m:e>
          <m:sub>
            <m:r>
              <m:t>z</m:t>
            </m:r>
          </m:sub>
        </m:sSub>
      </m:oMath>
      <w:r>
        <w:t xml:space="preserve">) = +0.062, SE = 0.073, p = .402 (n.s.)</w:t>
      </w:r>
    </w:p>
    <w:p>
      <w:pPr>
        <w:pStyle w:val="BodyText"/>
      </w:pPr>
      <w:r>
        <w:t xml:space="preserve">The FIP coefficient (</w:t>
      </w:r>
      <m:oMath>
        <m:sSub>
          <m:e>
            <m:r>
              <m:rPr>
                <m:nor/>
                <m:sty m:val="p"/>
              </m:rPr>
              <m:t>FSTS</m:t>
            </m:r>
          </m:e>
          <m:sub>
            <m:r>
              <m:t>c</m:t>
            </m:r>
          </m:sub>
        </m:sSub>
      </m:oMath>
      <w:r>
        <w:t xml:space="preserve">) remains negative but loses significance in M3 (</w:t>
      </w:r>
      <m:oMath>
        <m:r>
          <m:t>β</m:t>
        </m:r>
      </m:oMath>
      <w:r>
        <w:t xml:space="preserve"> </w:t>
      </w:r>
      <w:r>
        <w:t xml:space="preserve">= −0.974, p = .252), likely reflecting the substantially reduced sample (N = 526 for M3, versus N = 1,469 for M1, due to missing capability variables). The direction of the</w:t>
      </w:r>
      <w:r>
        <w:t xml:space="preserve"> </w:t>
      </w:r>
      <m:oMath>
        <m:sSub>
          <m:e>
            <m:r>
              <m:rPr>
                <m:nor/>
                <m:sty m:val="p"/>
              </m:rPr>
              <m:t>FSTS</m:t>
            </m:r>
          </m:e>
          <m:sub>
            <m:r>
              <m:t>c</m:t>
            </m:r>
          </m:sub>
        </m:sSub>
      </m:oMath>
      <w:r>
        <w:t xml:space="preserve"> </w:t>
      </w:r>
      <w:r>
        <w:t xml:space="preserve">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w:t>
      </w:r>
      <m:oMath>
        <m:sSub>
          <m:e>
            <m:r>
              <m:rPr>
                <m:nor/>
                <m:sty m:val="p"/>
              </m:rPr>
              <m:t>TCI</m:t>
            </m:r>
          </m:e>
          <m:sub>
            <m:r>
              <m:t>z</m:t>
            </m:r>
          </m:sub>
        </m:sSub>
      </m:oMath>
      <w:r>
        <w:t xml:space="preserve">:</w:t>
      </w:r>
      <w:r>
        <w:t xml:space="preserve"> </w:t>
      </w:r>
      <m:oMath>
        <m:r>
          <m:t>β</m:t>
        </m:r>
      </m:oMath>
      <w:r>
        <w:t xml:space="preserve"> </w:t>
      </w:r>
      <w:r>
        <w:t xml:space="preserve">= +0.058, SE = 0.085, p = .495) and digital adoption (</w:t>
      </w:r>
      <m:oMath>
        <m:sSub>
          <m:e>
            <m:r>
              <m:rPr>
                <m:nor/>
                <m:sty m:val="p"/>
              </m:rPr>
              <m:t>DAI</m:t>
            </m:r>
          </m:e>
          <m:sub>
            <m:r>
              <m:t>z</m:t>
            </m:r>
          </m:sub>
        </m:sSub>
      </m:oMath>
      <w:r>
        <w:t xml:space="preserve">:</w:t>
      </w:r>
      <w:r>
        <w:t xml:space="preserve"> </w:t>
      </w:r>
      <m:oMath>
        <m:r>
          <m:t>β</m:t>
        </m:r>
      </m:oMath>
      <w:r>
        <w:t xml:space="preserve"> </w:t>
      </w:r>
      <w:r>
        <w:t xml:space="preserve">= +0.062, SE = 0.073, p = .402) do not statistically significantly moderate the I-P relationship in Pacific SIDS, consistent with the FIP mechanism overwhelming capability effects in structurally constrained SIDS economies. The positive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while small and non-significant,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X6c093959484b3f9d4e201eec1d461ec8d4bd970"/>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w:t>
      </w:r>
      <w:r>
        <w:t xml:space="preserve"> </w:t>
      </w:r>
      <m:oMath>
        <m:r>
          <m:t>β</m:t>
        </m:r>
      </m:oMath>
      <w:r>
        <w:t xml:space="preserve"> </w:t>
      </w:r>
      <w:r>
        <w:t xml:space="preserve">= −0.404, p = .032); (ii) no significant quadratic curvature or turning point (M2: both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non-significant); (iii) robustly negative across four specifications (M_yearFE:</w:t>
      </w:r>
      <w:r>
        <w:t xml:space="preserve"> </w:t>
      </w:r>
      <m:oMath>
        <m:r>
          <m:t>β</m:t>
        </m:r>
      </m:oMath>
      <w:r>
        <w:t xml:space="preserve"> </w:t>
      </w:r>
      <w:r>
        <w:t xml:space="preserve">= −1.236, p &lt; .001; M_bivariate:</w:t>
      </w:r>
      <w:r>
        <w:t xml:space="preserve"> </w:t>
      </w:r>
      <m:oMath>
        <m:r>
          <m:t>β</m:t>
        </m:r>
      </m:oMath>
      <w:r>
        <w:t xml:space="preserve"> </w:t>
      </w:r>
      <w:r>
        <w:t xml:space="preserve">= −1.596, p &lt; .001; exporters-only:</w:t>
      </w:r>
      <w:r>
        <w:t xml:space="preserve"> </w:t>
      </w:r>
      <m:oMath>
        <m:r>
          <m:t>β</m:t>
        </m:r>
      </m:oMath>
      <w:r>
        <w:t xml:space="preserve"> </w:t>
      </w:r>
      <w:r>
        <w:t xml:space="preserve">= −0.901, p = .027); and (iv) null capability moderation (M3:</w:t>
      </w:r>
      <w:r>
        <w:t xml:space="preserve"> </w:t>
      </w:r>
      <m:oMath>
        <m:sSub>
          <m:e>
            <m:r>
              <m:rPr>
                <m:nor/>
                <m:sty m:val="p"/>
              </m:rPr>
              <m:t>TCI</m:t>
            </m:r>
          </m:e>
          <m:sub>
            <m:r>
              <m:t>z</m:t>
            </m:r>
          </m:sub>
        </m:sSub>
      </m:oMath>
      <w:r>
        <w:t xml:space="preserve"> </w:t>
      </w:r>
      <w:r>
        <w:t xml:space="preserve">p = .495;</w:t>
      </w:r>
      <w:r>
        <w:t xml:space="preserve"> </w:t>
      </w:r>
      <m:oMath>
        <m:sSub>
          <m:e>
            <m:r>
              <m:rPr>
                <m:nor/>
                <m:sty m:val="p"/>
              </m:rPr>
              <m:t>DAI</m:t>
            </m:r>
          </m:e>
          <m:sub>
            <m:r>
              <m:t>z</m:t>
            </m:r>
          </m:sub>
        </m:sSub>
      </m:oMath>
      <w:r>
        <w:t xml:space="preserve"> </w:t>
      </w:r>
      <w:r>
        <w:t xml:space="preserve">p = .402).</w:t>
      </w:r>
    </w:p>
    <w:p>
      <w:r>
        <w:pict>
          <v:rect style="width:0;height:1.5pt" o:hralign="center" o:hrstd="t" o:hr="t"/>
        </w:pict>
      </w:r>
    </w:p>
    <w:bookmarkEnd w:id="36"/>
    <w:bookmarkEnd w:id="37"/>
    <w:bookmarkStart w:id="43" w:name="X735612638e4e736e4693e459c258977262c0dfc"/>
    <w:p>
      <w:pPr>
        <w:pStyle w:val="Heading2"/>
      </w:pPr>
      <w:r>
        <w:t xml:space="preserve">5. Discussion</w:t>
      </w:r>
    </w:p>
    <w:bookmarkStart w:id="38"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the data show a monotone negative relationship. It persists across four modeling specifications, and it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and firms cannot accumulate the home-base resources and organizational capabilities that fund and sustain profitable internationalization. When trade costs amplify the "cost of doing business" of export revenues by 30–210% (Winters &amp; Martins, 2004), the marginal economics of exporting are negative from the outset. And when institutional voids are comprehensive, with absent trade finance intermediaries, unreliable contract enforcement, and limited standards infrastructure, firms cannot appropriate the learning and scale benefits that internationalization theory promises.</w:t>
      </w:r>
    </w:p>
    <w:p>
      <w:pPr>
        <w:pStyle w:val="BodyText"/>
      </w:pPr>
      <w:r>
        <w:t xml:space="preserve">This reframes the inverted-U from a universal empirical regularity into a</w:t>
      </w:r>
      <w:r>
        <w:t xml:space="preserve"> </w:t>
      </w:r>
      <w:r>
        <w:rPr>
          <w:iCs/>
          <w:i/>
        </w:rPr>
        <w:t xml:space="preserve">conditional</w:t>
      </w:r>
      <w:r>
        <w:t xml:space="preserve"> </w:t>
      </w:r>
      <w:r>
        <w:t xml:space="preserve">relationship: it holds when and because the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then a special case of a more general theoretical relationship. When institutional conditions cross a structural threshold from "weaker moderation" to "violated prerequisites," the sign of the I-P relationship reverses, not merely its magnitude.</w:t>
      </w:r>
    </w:p>
    <w:p>
      <w:pPr>
        <w:pStyle w:val="BodyText"/>
      </w:pPr>
      <w:r>
        <w:t xml:space="preserve">Read this way, conventional theory and FIP are the two poles of a single continuum rather than a rule and its exception. At the strong-institution pole, internationalization is internationalization-to-scale: a firm such as a Singaporean exporter operates on the long ascending limb where exporting optimizes profit margins, and the turning point arrives very late because the home base, trade costs, and institutions all permit scale and learning gains to be appropriated. At the opposite pole, internationalization is internationalization-to-survive: SIDS firms are forced to export despite trade-cost amplifications that erode all profit, and the curve collapses into a monotone negative line. The value of the FIP pole is not that it is rare but that it is diagnostic. It is the theoretically most revealing case precisely because it is the singularity at which the inverted-U breaks down, and where the breakdown lays bare the structural prerequisites the standard model assumes but leaves unstated. The conventional curve never had to declare its dependence on a viable home market, on bearable logistics, and on functioning institutions, because in mainstream samples those conditions are always present; only at the FIP pole, where they vanish together, does that hidden dependence become observable. FIP therefore contributes a general boundary condition to institutional moderation theory: it specifies the limit at which moderation of degree gives way to determination of sign.</w:t>
      </w:r>
    </w:p>
    <w:bookmarkEnd w:id="38"/>
    <w:bookmarkStart w:id="39"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at once, the I-P functional form is not a modified inverted-U but a qualitatively different pattern, namely a monotone negative one. This extends the theoretical vocabulary of IB research beyond "intensity moderation" toward "existence moderation" of the I-P relationship.</w:t>
      </w:r>
    </w:p>
    <w:p>
      <w:pPr>
        <w:pStyle w:val="BodyText"/>
      </w:pPr>
      <w:r>
        <w:t xml:space="preserve">The finding connects to the broader question of boundary conditions in IB theory (Verbeke &amp; Brugman, 2018; Hennart, 2007). If mainstream I-P theories are derived from samples of economies where the structural prerequisites are broadly satisfied, those theories may be systematically inapplicable to the SIDS context. They would not merely need adjustment; they would represent a qualitatively different theoretical regime. FIP offers a theoretically grounded label for that alternative regime.</w:t>
      </w:r>
    </w:p>
    <w:bookmarkEnd w:id="39"/>
    <w:bookmarkStart w:id="40" w:name="X8a30c3062e38861be110fa8b68be2e42e1dcb57"/>
    <w:p>
      <w:pPr>
        <w:pStyle w:val="Heading3"/>
      </w:pPr>
      <w:r>
        <w:t xml:space="preserve">5.3 The Capability Null: Institutional Determination vs. Moderation</w:t>
      </w:r>
    </w:p>
    <w:p>
      <w:pPr>
        <w:pStyle w:val="FirstParagraph"/>
      </w:pPr>
      <w:r>
        <w:t xml:space="preserve">The null results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in M3 add a second dimension to the FIP theory. In mainland Asian contexts, including Vietnam, Singapore, China, and multi-country samples, technological capability and digital adoption are statistically significant moderators of the I-P relationship (Goedhuys &amp; Sleuwaegen, 2013; Teece, 2007). Why, then,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FIP operates at a structural, pre-organizational level. A SIDS firm with ISO 9001 certification (high TCI) still faces the same 30–210% trade cost amplifications; a SIDS firm with a functioning website (DAI = 1) still faces absent trade finance institutions. Capabilities that act as powerful moderators within the structural prerequisites framework become ineffective once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inside the firm, unable to translate into performance advantages through international market transactions.</w:t>
      </w:r>
    </w:p>
    <w:p>
      <w:pPr>
        <w:pStyle w:val="BodyText"/>
      </w:pPr>
      <w:r>
        <w:t xml:space="preserve">The positive though non-significant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suggest that capabilities do raise general productivity levels, consistent with their role in the broader literature, yet they cannot modify the negative directionality of the FSTS–performance relationship in the SIDS structural context. This nuance, that capabilities help the level and not the slope, may be a productive direction for future SIDS research.</w:t>
      </w:r>
    </w:p>
    <w:bookmarkEnd w:id="40"/>
    <w:bookmarkStart w:id="41"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addressing the violated structural prerequisites in parallel, may worsen firm performance at the micro level even while they improve macroeconomic trade balances. The relevant policy question becomes: which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the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such as standards bodies, trade finance intermediaries, and export promotion agencies with genuine capacity, may address the FIP mechanism more directly than generic governance reform. Goedhuys and Sleuwaegen's (2013) evidence on international certification is instructive here. Their finding that ISO certification improves firm productivity is consistent with the null TCI result reported above if certification's productivity benefit is conditional on institutions that support standards enforcement and customer recognition, the very conditions absent in the SIDS context.</w:t>
      </w:r>
    </w:p>
    <w:bookmarkEnd w:id="41"/>
    <w:bookmarkStart w:id="42"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although we pool across multiple country-year waves (2009–2025), few SIDS economies have more than one WBES wave (see Table 1), which limits panel identification of causal effects. The FIP estimate is identified primarily from cross-sectional variation in FSTS within country-year cells. Future work using panel data, where available for Fiji and Papua New Guinea, both of which have two waves, could strengthen causal identification.</w:t>
      </w:r>
    </w:p>
    <w:p>
      <w:pPr>
        <w:pStyle w:val="BodyText"/>
      </w:pPr>
      <w:r>
        <w:t xml:space="preserve">Second,</w:t>
      </w:r>
      <w:r>
        <w:t xml:space="preserve"> </w:t>
      </w:r>
      <w:r>
        <w:rPr>
          <w:bCs/>
          <w:b/>
        </w:rPr>
        <w:t xml:space="preserve">FSTS measurement in thin-export contexts</w:t>
      </w:r>
      <w:r>
        <w:t xml:space="preserve">: with a mean FSTS of 0.060 and only 12.7% exporters, the FSTS distribution is highly right-skewed. Coefficient estimates in M2 may be sensitive to a handful of high-FSTS outliers, so the non-significant quadratic results should be read with caution.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and static indicator. This is appropriate for the SIDS context given the limited availability of more advanced digital infrastructure indicators in WBES, but it does mean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to arise when three structural prerequisites are absent at once. Other extreme contexts, such as Saharan micro-states, remote highland economies, and post-conflict settings, may exhibit similar patterns. Caribbean SIDS, which are not included in our sample, represent a natural extension context.</w:t>
      </w:r>
    </w:p>
    <w:p>
      <w:r>
        <w:pict>
          <v:rect style="width:0;height:1.5pt" o:hralign="center" o:hrstd="t" o:hr="t"/>
        </w:pict>
      </w:r>
    </w:p>
    <w:bookmarkEnd w:id="42"/>
    <w:bookmarkEnd w:id="43"/>
    <w:bookmarkStart w:id="44" w:name="X56025c6d9dbf7520f7a7df11f905cdd09f46e4a"/>
    <w:p>
      <w:pPr>
        <w:pStyle w:val="Heading2"/>
      </w:pPr>
      <w:r>
        <w:t xml:space="preserve">6. Conclusions</w:t>
      </w:r>
    </w:p>
    <w:p>
      <w:pPr>
        <w:pStyle w:val="FirstParagraph"/>
      </w:pPr>
      <w:r>
        <w:t xml:space="preserve">This study introduced the Forced Internationalization Penalty (FIP), the monotone negative effect of internationalization intensity on firm performance when three structural prerequisites of the inverted-U relationship are absent at once: a viable domestic market, manageable trade costs, and functional institutional support. Using WBES data from 1,469 firms across nine Pacific SIDS economies, we find robust support for FIP across four empirical specifications (</w:t>
      </w:r>
      <m:oMath>
        <m:r>
          <m:t>β</m:t>
        </m:r>
      </m:oMath>
      <w:r>
        <w:t xml:space="preserve"> </w:t>
      </w:r>
      <w:r>
        <w:t xml:space="preserve">= −0.404, p = .032 in the primary country-and-year fixed-effects model;</w:t>
      </w:r>
      <w:r>
        <w:t xml:space="preserve"> </w:t>
      </w:r>
      <m:oMath>
        <m:r>
          <m:t>β</m:t>
        </m:r>
      </m:oMath>
      <w:r>
        <w:t xml:space="preserve"> </w:t>
      </w:r>
      <w:r>
        <w:t xml:space="preserve">= −1.236, p &lt; .001 without country fixed effects;</w:t>
      </w:r>
      <w:r>
        <w:t xml:space="preserve"> </w:t>
      </w:r>
      <m:oMath>
        <m:r>
          <m:t>β</m:t>
        </m:r>
      </m:oMath>
      <w:r>
        <w:t xml:space="preserve"> </w:t>
      </w:r>
      <w:r>
        <w:t xml:space="preserve">= −0.901, p = .027 in the exporters-only subsample). The quadratic term is not significant, which confirms the monotone negative form with no observable turning point. Technological capability and digital adoption, both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 "institutional moderation of I-P intensity" toward "institutional determination of I-P sign," which establishes the inverted-U as conditional on structural prerequisites rather than universal. FIP and conventional theory are best understood as the two poles of one continuum: internationalization-to-scale, where exporting optimizes margins and the turning point is very late, and internationalization-to-survive, where firms are compelled to export despite profit-eroding logistics costs and the curve collapses to a monotone negative line. The SIDS case is valuable not because it is exotic but because it is the singularity at which the standard model breaks down and thereby reveals the prerequisites it silently assumes; FIP names that limiting regime and supplies a general boundary condition for institutional moderation theory. Second, they extend the application of "forced internationalization" 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These should address trade costs, domestic market viability through regional integration, and targeted institutional development, rather than the intensification of export activity on its own.</w:t>
      </w:r>
    </w:p>
    <w:p>
      <w:r>
        <w:pict>
          <v:rect style="width:0;height:1.5pt" o:hralign="center" o:hrstd="t" o:hr="t"/>
        </w:pict>
      </w:r>
    </w:p>
    <w:bookmarkEnd w:id="44"/>
    <w:bookmarkStart w:id="48"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45">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46">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47">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8"/>
    <w:bookmarkStart w:id="52" w:name="appendix-a-tables"/>
    <w:p>
      <w:pPr>
        <w:pStyle w:val="Heading2"/>
      </w:pPr>
      <w:r>
        <w:t xml:space="preserve">Appendix A: Tables</w:t>
      </w:r>
    </w:p>
    <w:bookmarkStart w:id="49"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9"/>
    <w:bookmarkStart w:id="50"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w:t>
      </w:r>
      <w:r>
        <w:rPr>
          <w:iCs/>
          <w:i/>
        </w:rPr>
        <w:t xml:space="preserve"> </w:t>
      </w:r>
      <m:oMath>
        <m:r>
          <m:t>β</m:t>
        </m:r>
      </m:oMath>
      <w:r>
        <w:rPr>
          <w:iCs/>
          <w:i/>
        </w:rPr>
        <w:t xml:space="preserve">(</w:t>
      </w:r>
      <m:oMath>
        <m:sSub>
          <m:e>
            <m:r>
              <m:rPr>
                <m:nor/>
                <m:sty m:val="p"/>
              </m:rPr>
              <m:t>FSTS</m:t>
            </m:r>
          </m:e>
          <m:sub>
            <m:r>
              <m:t>c</m:t>
            </m:r>
          </m:sub>
        </m:sSub>
      </m:oMath>
      <w:r>
        <w:rPr>
          <w:iCs/>
          <w:i/>
        </w:rPr>
        <w:t xml:space="preserve">) = −0.404, p = .032 (M1).</w:t>
      </w:r>
    </w:p>
    <w:bookmarkEnd w:id="50"/>
    <w:bookmarkStart w:id="51" w:name="X25c22aea567cfc6fb497c5a2142ec453d3ebd11"/>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w:t>
      </w:r>
      <m:oMath>
        <m:r>
          <m:t>β</m:t>
        </m:r>
      </m:oMath>
      <w:r>
        <w:rPr>
          <w:iCs/>
          <w:i/>
        </w:rPr>
        <w:t xml:space="preserve"> </w:t>
      </w:r>
      <w:r>
        <w:rPr>
          <w:iCs/>
          <w:i/>
        </w:rPr>
        <w:t xml:space="preserve">= −0.901) addresses adverse selection concern: among active exporters, intensifying exports further worsens performance.</w:t>
      </w:r>
    </w:p>
    <w:bookmarkEnd w:id="51"/>
    <w:bookmarkEnd w:id="52"/>
    <w:bookmarkEnd w:id="5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46" Target="https://data360.worldbank.org/en/int/atlas/artificial-intelligence" TargetMode="External" /><Relationship Type="http://schemas.openxmlformats.org/officeDocument/2006/relationships/hyperlink" Id="rId47" Target="https://data360.worldbank.org/en/int/atlas/global-progress" TargetMode="External" /><Relationship Type="http://schemas.openxmlformats.org/officeDocument/2006/relationships/hyperlink" Id="rId45"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2026-05-30T16:30:26Z</dcterms:created>
  <dcterms:modified xsi:type="dcterms:W3CDTF">2026-05-30T16:30:26Z</dcterms:modified>
</cp:coreProperties>
</file>

<file path=docProps/custom.xml><?xml version="1.0" encoding="utf-8"?>
<Properties xmlns="http://schemas.openxmlformats.org/officeDocument/2006/custom-properties" xmlns:vt="http://schemas.openxmlformats.org/officeDocument/2006/docPropsVTypes"/>
</file>