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7"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91.982 doanh nghiệp ở 49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under review), P4 Singapore (MIR, under review), P5 Trung Quốc (IJOEM, under review),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91,982 firms across 49 Asian and Pacific economies (96,415 ICRV-classified across 52 source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49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 Hiệu ứng cố định</w:t>
            </w:r>
          </w:p>
        </w:tc>
      </w:tr>
      <w:tr>
        <w:tc>
          <w:tcPr/>
          <w:p>
            <w:pPr>
              <w:pStyle w:val="Compact"/>
              <w:jc w:val="left"/>
            </w:pPr>
            <w:r>
              <w:t xml:space="preserve">FSTS</w:t>
            </w:r>
          </w:p>
        </w:tc>
        <w:tc>
          <w:tcPr/>
          <w:p>
            <w:pPr>
              <w:pStyle w:val="Compact"/>
              <w:jc w:val="left"/>
            </w:pPr>
            <w:r>
              <w:t xml:space="preserve">Foreign Sales to Total Sales ratio —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 Quan hệ quốc tế hóa — hiệu quả</w:t>
            </w:r>
          </w:p>
        </w:tc>
      </w:tr>
      <w:tr>
        <w:tc>
          <w:tcPr/>
          <w:p>
            <w:pPr>
              <w:pStyle w:val="Compact"/>
              <w:jc w:val="left"/>
            </w:pPr>
            <w:r>
              <w:t xml:space="preserve">IB</w:t>
            </w:r>
          </w:p>
        </w:tc>
        <w:tc>
          <w:tcPr/>
          <w:p>
            <w:pPr>
              <w:pStyle w:val="Compact"/>
              <w:jc w:val="left"/>
            </w:pPr>
            <w:r>
              <w:t xml:space="preserve">International Business — Kinh doanh quốc tế</w:t>
            </w:r>
          </w:p>
        </w:tc>
      </w:tr>
      <w:tr>
        <w:tc>
          <w:tcPr/>
          <w:p>
            <w:pPr>
              <w:pStyle w:val="Compact"/>
              <w:jc w:val="left"/>
            </w:pPr>
            <w:r>
              <w:t xml:space="preserve">ICRV</w:t>
            </w:r>
          </w:p>
        </w:tc>
        <w:tc>
          <w:tcPr/>
          <w:p>
            <w:pPr>
              <w:pStyle w:val="Compact"/>
              <w:jc w:val="left"/>
            </w:pPr>
            <w:r>
              <w:t xml:space="preserve">Institutional Context Regime Variation —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 Nghiên cứu và phát triển</w:t>
            </w:r>
          </w:p>
        </w:tc>
      </w:tr>
      <w:tr>
        <w:tc>
          <w:tcPr/>
          <w:p>
            <w:pPr>
              <w:pStyle w:val="Compact"/>
              <w:jc w:val="left"/>
            </w:pPr>
            <w:r>
              <w:t xml:space="preserve">RBV</w:t>
            </w:r>
          </w:p>
        </w:tc>
        <w:tc>
          <w:tcPr/>
          <w:p>
            <w:pPr>
              <w:pStyle w:val="Compact"/>
              <w:jc w:val="left"/>
            </w:pPr>
            <w:r>
              <w:t xml:space="preserve">Resource-Based View —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 Doanh nghiệp vừa và nhỏ</w:t>
            </w:r>
          </w:p>
        </w:tc>
      </w:tr>
      <w:tr>
        <w:tc>
          <w:tcPr/>
          <w:p>
            <w:pPr>
              <w:pStyle w:val="Compact"/>
              <w:jc w:val="left"/>
            </w:pPr>
            <w:r>
              <w:t xml:space="preserve">SOE</w:t>
            </w:r>
          </w:p>
        </w:tc>
        <w:tc>
          <w:tcPr/>
          <w:p>
            <w:pPr>
              <w:pStyle w:val="Compact"/>
              <w:jc w:val="left"/>
            </w:pPr>
            <w:r>
              <w:t xml:space="preserve">State-Owned Enterprise — Doanh nghiệp nhà nước</w:t>
            </w:r>
          </w:p>
        </w:tc>
      </w:tr>
      <w:tr>
        <w:tc>
          <w:tcPr/>
          <w:p>
            <w:pPr>
              <w:pStyle w:val="Compact"/>
              <w:jc w:val="left"/>
            </w:pPr>
            <w:r>
              <w:t xml:space="preserve">TCI</w:t>
            </w:r>
          </w:p>
        </w:tc>
        <w:tc>
          <w:tcPr/>
          <w:p>
            <w:pPr>
              <w:pStyle w:val="Compact"/>
              <w:jc w:val="left"/>
            </w:pPr>
            <w:r>
              <w:t xml:space="preserve">Technological Capability Index —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49 nền kinh tế châu Á–Thái Bình Dương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91.982 doanh nghiệp WBES xuyên 49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91.982 doanh nghiệp xuyên 49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49 nền kinh tế phân theo sáu nhóm ICRV (5+6+6+7+17+8).</w:t>
      </w:r>
    </w:p>
    <w:p>
      <w:pPr>
        <w:pStyle w:val="BodyText"/>
      </w:pPr>
      <w:r>
        <w:t xml:space="preserve">Phạm vi thời gian: 2009–2025 (kèm một đợt khảo sát Oman 2003 trong bộ dữ liệu hợp nhất), bao trùm ba thế hệ schema WBES, tạo thành 101 cặp nền kinh tế–năm trên khung phân tích 49 nền.</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văn liệu IB cho khu vực 49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e9d3ddc50a975426938b90e9f8f17c0f4735086"/>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 quy mô —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91.982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điểm uốn 49,4% (2012), 47,2% (2024), kiểm định Paternoster cho hệ số FSTS² không có sự khác biệt đáng kể (p = 0,545). TCI tăng cường theo thời gian (+0,260 →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tắt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91.982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regime Advanced-Innovation; P7 pooled toàn mẫu ~36%)</w:t>
      </w:r>
      <w:r>
        <w:t xml:space="preserve">, thể chế mạnh giúp doanh nghiệp đạt đỉnh hiệu suất ở mức FSTS thấp hơn; Nhóm III có điểm uốn trung bình (47–49%); Nhóm IV có điểm uốn trung bình–thấp (39–46%); Nhóm V có điểm uốn cao (~50–55%). Nhóm VI có pattern gánh nặng tắt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 Nhóm IV (~39–46%) → Nhóm V (~50–55%), với Nhóm VI có pattern gánh nặng tắt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8"/>
    <w:bookmarkStart w:id="59"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(regime Advanced-Innovation; pooled toàn mẫu ~36%)</w:t>
            </w:r>
          </w:p>
        </w:tc>
        <w:tc>
          <w:tcPr/>
          <w:p>
            <w:pPr>
              <w:pStyle w:val="Compact"/>
              <w:jc w:val="left"/>
            </w:pPr>
            <w:r>
              <w:t xml:space="preserve">P7 pooled (N=84,910): TP ~36%; regime Advanced-Innovation ~28% (thấp nhất); P4 Singapore TP ~88,6%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 III → IV → V; Nhóm VI có pattern gánh nặng tắt buộc. Điểm uốn</w:t>
      </w:r>
      <w:r>
        <w:t xml:space="preserve"> </w:t>
      </w:r>
      <w:r>
        <w:rPr>
          <w:bCs/>
          <w:b/>
        </w:rPr>
        <w:t xml:space="preserve">giảm đơn điệu</w:t>
      </w:r>
      <w:r>
        <w:t xml:space="preserve"> </w:t>
      </w:r>
      <w:r>
        <w:t xml:space="preserve">theo gradient từ Nhóm V (~50–55%) xuống Nhóm I (~28%),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văn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tắt buộc (Nhóm VI).</w:t>
      </w:r>
      <w:r>
        <w:t xml:space="preserve"> </w:t>
      </w:r>
      <w:r>
        <w:t xml:space="preserve">Nhóm tham chiếu: Nhóm I (tiên tiến đổi mới).</w:t>
      </w:r>
      <w:r>
        <w:t xml:space="preserve"> </w:t>
      </w:r>
      <w:r>
        <w:t xml:space="preserve">Kỳ vọng: điểm uốn giảm dần theo j (Nhóm II → III → IV → V → VI); Nhóm VI có β(FSTS×ICRV_VI) ≤ 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pool 91.982.</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96.415 doanh nghiệp phân loại (52 nền nguồn); mẫu phân tích chính 91.982 doanh nghiệp / 49 nền kinh tế châu Á và Thái Bình Dương; 101 cặp nền kinh tế–năm trong giai đoạn 2009–2025 (kèm một đợt khảo sát Oman 2003 trong bộ dữ liệu hợp nhất).</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 Adv. đổi mới (</w:t>
            </w:r>
            <w:r>
              <w:rPr>
                <w:rStyle w:val="VerbatimChar"/>
              </w:rPr>
              <w:t xml:space="preserve">Advanced_innovation</w:t>
            </w:r>
            <w:r>
              <w:t xml:space="preserve">)</w:t>
            </w:r>
          </w:p>
        </w:tc>
        <w:tc>
          <w:tcPr/>
          <w:p>
            <w:pPr>
              <w:pStyle w:val="Compact"/>
              <w:jc w:val="left"/>
            </w:pPr>
            <w:r>
              <w:t xml:space="preserve">Singapore, HongKong, Hàn Quốc, Đài Loan, Israel (+ Nhật Bản trong khung mô tả)¹</w:t>
            </w:r>
          </w:p>
        </w:tc>
        <w:tc>
          <w:tcPr/>
          <w:p>
            <w:pPr>
              <w:pStyle w:val="Compact"/>
              <w:jc w:val="center"/>
            </w:pPr>
            <w:r>
              <w:t xml:space="preserve">5 (mô tả: 6)</w:t>
            </w:r>
          </w:p>
        </w:tc>
        <w:tc>
          <w:tcPr/>
          <w:p>
            <w:pPr>
              <w:pStyle w:val="Compact"/>
              <w:jc w:val="center"/>
            </w:pPr>
            <w:r>
              <w:t xml:space="preserve">4.222</w:t>
            </w:r>
          </w:p>
        </w:tc>
      </w:tr>
      <w:tr>
        <w:tc>
          <w:tcPr/>
          <w:p>
            <w:pPr>
              <w:pStyle w:val="Compact"/>
              <w:jc w:val="left"/>
            </w:pPr>
            <w:r>
              <w:t xml:space="preserve">II —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2.269</w:t>
            </w:r>
          </w:p>
        </w:tc>
      </w:tr>
      <w:tr>
        <w:tc>
          <w:tcPr/>
          <w:p>
            <w:pPr>
              <w:pStyle w:val="Compact"/>
              <w:jc w:val="left"/>
            </w:pPr>
            <w:r>
              <w:t xml:space="preserve">III —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50.926</w:t>
            </w:r>
          </w:p>
        </w:tc>
      </w:tr>
      <w:tr>
        <w:tc>
          <w:tcPr/>
          <w:p>
            <w:pPr>
              <w:pStyle w:val="Compact"/>
              <w:jc w:val="left"/>
            </w:pPr>
            <w:r>
              <w:t xml:space="preserve">V —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18.569</w:t>
            </w:r>
          </w:p>
        </w:tc>
      </w:tr>
      <w:tr>
        <w:tc>
          <w:tcPr/>
          <w:p>
            <w:pPr>
              <w:pStyle w:val="Compact"/>
              <w:jc w:val="left"/>
            </w:pPr>
            <w:r>
              <w:t xml:space="preserve">VI —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1.885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49</w:t>
            </w:r>
          </w:p>
        </w:tc>
        <w:tc>
          <w:tcPr/>
          <w:p>
            <w:pPr>
              <w:pStyle w:val="Compact"/>
              <w:jc w:val="center"/>
            </w:pPr>
            <w:r>
              <w:rPr>
                <w:bCs/>
                <w:b/>
              </w:rPr>
              <w:t xml:space="preserve">91.864</w:t>
            </w:r>
            <w:r>
              <w:t xml:space="preserve"> </w:t>
            </w:r>
            <w:r>
              <w:t xml:space="preserve">(≈91.982 mẫu phân tích luận án)</w:t>
            </w:r>
          </w:p>
        </w:tc>
      </w:tr>
    </w:tbl>
    <w:p>
      <w:pPr>
        <w:pStyle w:val="BodyText"/>
      </w:pPr>
      <w:r>
        <w:rPr>
          <w:iCs/>
          <w:i/>
        </w:rPr>
        <w:t xml:space="preserve">Ghi chú: ¹Nhật Bản được WBES khảo sát lần đầu năm 2025 (n=2.168) và là thành viên thứ sáu của Nhóm I trong khung mô tả 50 nền (Chuyên đề 1); bộ dữ liệu ước lượng đa quốc gia của chuyên đề này (P7) được chạy trên 49 nền theo dữ liệu sẵn có tại thời điểm ước lượng, đưa Nhật Bản vào ước lượng là vòng tái ước lượng tiếp theo.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Pool phân loại đầy đủ = 96.415 DN/52 nền; loại 3 nền ngoài châu Á (Comoros, Turkey, Cyprus) → khung phân tích 49 nền Á–TBD = 91.864 DN.</w:t>
      </w:r>
    </w:p>
    <w:p>
      <w:pPr>
        <w:pStyle w:val="BodyText"/>
      </w:pPr>
      <w:r>
        <w:t xml:space="preserve">Ba thế hệ schema WBES và giao thức hòa hợp: PICS3 (2006–2012): biến FSTS từ d3b/d3c; TCI từ h1/h8/b8; DAI từ c22b only. Standardized (2013–2017): biến tái định dạng nhưng tương thích. BREADY/BEE (2018–2025):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trong cụm nền kinh tế × năm; và chuẩn hóa năng suất xuyên tiền tệ (xem dưới).</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t>L</m:t>
            </m:r>
            <m: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I→P được nhận dạng từ biến thiên</w:t>
      </w:r>
      <w:r>
        <w:t xml:space="preserve"> </w:t>
      </w:r>
      <w:r>
        <w:rPr>
          <w:iCs/>
          <w:i/>
        </w:rPr>
        <w:t xml:space="preserve">nội bộ</w:t>
      </w:r>
      <w:r>
        <w:t xml:space="preserve"> </w:t>
      </w:r>
      <w:r>
        <w:t xml:space="preserve">nền kinh tế–năm, nhất quán với Phụ lục A của luận án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t>L</m:t>
            </m:r>
            <m:r>
              <m:t>P</m:t>
            </m:r>
          </m:e>
        </m:d>
      </m:oMath>
      <w:r>
        <w:t xml:space="preserve"> </w:t>
      </w:r>
      <w:r>
        <w:t xml:space="preserve">thô. Giá trị được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văn liệu I–P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49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tắt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5 + 6 + 6 + 7 + 17 + 8 =</w:t>
      </w:r>
      <w:r>
        <w:t xml:space="preserve"> </w:t>
      </w:r>
      <w:r>
        <w:rPr>
          <w:bCs/>
          <w:b/>
        </w:rPr>
        <w:t xml:space="preserve">49 nền kinh tế châu Á–Thái Bình Dương</w:t>
      </w:r>
      <w:r>
        <w:t xml:space="preserve"> </w:t>
      </w:r>
      <w:r>
        <w:t xml:space="preserve">(căn theo nhãn</w:t>
      </w:r>
      <w:r>
        <w:t xml:space="preserve"> </w:t>
      </w:r>
      <w:r>
        <w:rPr>
          <w:rStyle w:val="VerbatimChar"/>
        </w:rPr>
        <w:t xml:space="preserve">icrv_label</w:t>
      </w:r>
      <w:r>
        <w:t xml:space="preserve"> </w:t>
      </w:r>
      <w:r>
        <w:t xml:space="preserve">dữ liệu P7).</w:t>
      </w:r>
      <w:r>
        <w:t xml:space="preserve"> </w:t>
      </w:r>
      <w:r>
        <w:rPr>
          <w:iCs/>
          <w:i/>
        </w:rPr>
        <w:t xml:space="preserve">(Pool phân loại đầy đủ 52 nền/96.415 DN gồm thêm Comoros, Turkey, Cyprus ngoài châu Á, loại khỏi khung 49. P8 mẫu chính 7 nền Pacific; robustness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49 nền kinh tế không thay đổi nhóm ICRV trong giai đoạn 2009–2025 (ngưỡng kiểm tra: chuyển nhóm nếu GNI/người vượt ngưỡng ±15% trong ≥3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 bằng chứng xác nhận không phụ thuộc giả định phân phối.</w:t>
      </w:r>
    </w:p>
    <w:p>
      <w:pPr>
        <w:pStyle w:val="BodyText"/>
      </w:pPr>
      <w:r>
        <w:t xml:space="preserve">Tầng 4, Nhân rộng mẫu con: Pool đủ lớn (91.982) cho phép chạy M0–M7 riêng cho từng nhóm ICRV (Nhóm I: 4.222; Nhóm IV: 50.926)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49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văn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văn liệu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91.982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tắt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91.982 doanh nghiệp WBES xuyên 49 nền kinh tế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tắt buộc; H6 (Thời gian) DAI dịch chuyển 2009→2023,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publication bias xác nhận qua Begg–Mazumdar τ=−0,134 (p=.0007), trim-and-fill k=58 imputed,</w:t>
      </w:r>
      <w:r>
        <w:t xml:space="preserve"> </w:t>
      </w:r>
      <w:r>
        <w:rPr>
          <w:iCs/>
          <w:i/>
        </w:rPr>
        <w:t xml:space="preserve">r</w:t>
      </w:r>
      <w:r>
        <w:t xml:space="preserve">_adj=0,035,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49 nền kinh tế (JIBS, under revision):</w:t>
      </w:r>
      <w:r>
        <w:t xml:space="preserve"> </w:t>
      </w:r>
      <w:r>
        <w:t xml:space="preserve">P7 đã hoàn thành, N=84,910–91,982 doanh nghiệp, 49 nền kinh tế châu Á và Thái Bình Dương, 102 country-year waves, 6 nhóm ICRV. Kết quả xác nhận: H1 (phi tuyến) TP≈36%; H2 TCI level effect β≈+0.344 (p&lt;.05); H3 DAI universal level effect β=+0.155 (p&lt;.001) + cả hai curvature interactions; H5 ICRV gradient, TP</w:t>
      </w:r>
      <w:r>
        <w:t xml:space="preserve"> </w:t>
      </w:r>
      <w:r>
        <w:rPr>
          <w:bCs/>
          <w:b/>
        </w:rPr>
        <w:t xml:space="preserve">giảm</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P8: SIDS Thái Bình Dương, gánh nặng tắt buộc (World Development, under revision):</w:t>
      </w:r>
      <w:r>
        <w:t xml:space="preserve"> </w:t>
      </w:r>
      <w:r>
        <w:t xml:space="preserve">P8 đã hoàn thành,</w:t>
      </w:r>
      <w:r>
        <w:t xml:space="preserve"> </w:t>
      </w:r>
      <w:r>
        <w:rPr>
          <w:bCs/>
          <w:b/>
        </w:rPr>
        <w:t xml:space="preserve">mẫu chính 7 nền Pacific SIDS (N=209 complete-case; pool 1.371), β(FSTS_c)=−1,339</w:t>
      </w:r>
      <w:r>
        <w:t xml:space="preserve"> </w:t>
      </w:r>
      <w:r>
        <w:t xml:space="preserve">(p&lt;.001); kiểm định độ vững mở rộng 9 nền (thêm Comoros + Timor-Leste, N≈1.469, β≈−0,4),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1"/>
    <w:bookmarkStart w:id="96" w:name="phụ-lục"/>
    <w:p>
      <w:pPr>
        <w:pStyle w:val="Heading2"/>
      </w:pPr>
      <w:r>
        <w:t xml:space="preserve">PHỤ LỤC</w:t>
      </w:r>
    </w:p>
    <w:bookmarkStart w:id="92" w:name="X01944e567194a9fadb7bca1b5869d9662127c94"/>
    <w:p>
      <w:pPr>
        <w:pStyle w:val="Heading3"/>
      </w:pPr>
      <w:r>
        <w:t xml:space="preserve">Phụ lục A: Danh sách 49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Đang nổi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49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under review): Mar, K. S.,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under review): Đỗ, T. H., &amp; Phan, A. T. (2026). Phân tích 4.559 doanh nghiệp WBES hai sóng 2012/2024. Kết quả chính: chữ U ngược bền vững cấu trúc, điểm uốn 49,4% (2012), 47,2% (2024), Paternoster FSTS² p = 0,545 (không có sự khác biệt đáng kể); TCI tăng cường theo thời gian (+0,260 →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w:t>
      </w:r>
      <w:r>
        <w:rPr>
          <w:rStyle w:val="KeywordTok"/>
        </w:rPr>
        <w:t xml:space="preserve">cluster</w:t>
      </w:r>
      <w:r>
        <w:rPr>
          <w:rStyle w:val="NormalTok"/>
        </w:rPr>
        <w:t xml:space="preserve"> →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bookmarkEnd w:id="9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2026-06-12T11:35:45Z</dcterms:created>
  <dcterms:modified xsi:type="dcterms:W3CDTF">2026-06-12T11:35:45Z</dcterms:modified>
</cp:coreProperties>
</file>

<file path=docProps/custom.xml><?xml version="1.0" encoding="utf-8"?>
<Properties xmlns="http://schemas.openxmlformats.org/officeDocument/2006/custom-properties" xmlns:vt="http://schemas.openxmlformats.org/officeDocument/2006/docPropsVTypes"/>
</file>