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w:t>
      </w:r>
      <w:r>
        <w:t xml:space="preserve"> </w:t>
      </w:r>
      <w:r>
        <w:t xml:space="preserve">“</w:t>
      </w:r>
      <w:r>
        <w:t xml:space="preserve">lá chắn số</w:t>
      </w:r>
      <w:r>
        <w:t xml:space="preserve">”</w:t>
      </w:r>
      <w:r>
        <w:t xml:space="preserve">);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India) and a boundary case of seven Pacific Small Island Developing States (SIDS).</w:t>
      </w:r>
    </w:p>
    <w:p>
      <w:pPr>
        <w:pStyle w:val="BodyText"/>
      </w:pPr>
      <w:r>
        <w:t xml:space="preserve">Key findings: (1) the I–P relationship is inverted-U shaped, but the turning point is not fixed,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w:t>
      </w:r>
      <w:r>
        <w:t xml:space="preserve"> </w:t>
      </w:r>
      <w:r>
        <w:t xml:space="preserve">“</w:t>
      </w:r>
      <w:r>
        <w:t xml:space="preserve">digital shield</w:t>
      </w:r>
      <w:r>
        <w:t xml:space="preserve">”</w:t>
      </w:r>
      <w:r>
        <w:t xml:space="preserve"> </w:t>
      </w:r>
      <w:r>
        <w:t xml:space="preserve">effect);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 Lời cảm ơn · Tóm tắt · Abstract · Danh mục từ viết tắt · Danh mục bảng · Danh mục hình ·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Đặc trưng doanh nghiệp Nhật Bản 2025 so với Nhóm I (Chương 4, §4.1.5)</w:t>
      </w:r>
      <w:r>
        <w:t xml:space="preserve"> </w:t>
      </w:r>
      <w:r>
        <w:t xml:space="preserve">- Bảng 4.4. Tiến triển 11 mô hình lồng nhau của P7: điểm uốn và độ phù hợp (Chương 4, §4.6)</w:t>
      </w:r>
      <w:r>
        <w:t xml:space="preserve"> </w:t>
      </w:r>
      <w:r>
        <w:t xml:space="preserve">- Bảng 4.5. Điểm uốn theo đợt khảo sát, Ấn Độ (Chương 4, §4.8)</w:t>
      </w:r>
      <w:r>
        <w:t xml:space="preserve"> </w:t>
      </w:r>
      <w:r>
        <w:t xml:space="preserve">- Bảng 4.6. Tổng hợp ước lượng các nghiên cứu thành phần thực nghiệm (Chương 4, §4.10)</w:t>
      </w:r>
    </w:p>
    <w:p>
      <w:pPr>
        <w:pStyle w:val="BodyText"/>
      </w:pPr>
      <w:r>
        <w:rPr>
          <w:bCs/>
          <w:b/>
        </w:rPr>
        <w:t xml:space="preserve">Bảng chuyên đề (không đánh số, theo mục):</w:t>
      </w:r>
      <w:r>
        <w:t xml:space="preserve"> </w:t>
      </w:r>
      <w:r>
        <w:t xml:space="preserve">- Bảng định nghĩa biến, Nghiên cứu P3 Việt Nam (Chương 3, §3.4.5.1)</w:t>
      </w:r>
      <w:r>
        <w:t xml:space="preserve"> </w:t>
      </w:r>
      <w:r>
        <w:t xml:space="preserve">- Bảng định nghĩa biến, Nghiên cứu P4 Singapore (Chương 3, §3.4.5.2)</w:t>
      </w:r>
      <w:r>
        <w:t xml:space="preserve"> </w:t>
      </w:r>
      <w:r>
        <w:t xml:space="preserve">- Bảng định nghĩa biến, Nghiên cứu P5 Trung Quốc (Chương 3, §3.4.5.3)</w:t>
      </w:r>
      <w:r>
        <w:t xml:space="preserve"> </w:t>
      </w:r>
      <w:r>
        <w:t xml:space="preserve">- Bảng định nghĩa biến, Nghiên cứu P7 đa quốc gia (Chương 3, §3.4.5.4)</w:t>
      </w:r>
      <w:r>
        <w:t xml:space="preserve"> </w:t>
      </w:r>
      <w:r>
        <w:t xml:space="preserve">- Bảng định nghĩa biến,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49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2"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2"/>
    <w:bookmarkEnd w:id="33"/>
    <w:bookmarkStart w:id="3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4"/>
    <w:bookmarkStart w:id="3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5"/>
    <w:bookmarkStart w:id="3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6"/>
    <w:bookmarkStart w:id="40" w:name="đối-tượng-và-phạm-vi-nghiên-cứu"/>
    <w:p>
      <w:pPr>
        <w:pStyle w:val="Heading2"/>
      </w:pPr>
      <w:r>
        <w:t xml:space="preserve">1.5 Đối tượng và phạm vi nghiên cứu</w:t>
      </w:r>
    </w:p>
    <w:bookmarkStart w:id="3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7"/>
    <w:bookmarkStart w:id="3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38"/>
    <w:bookmarkStart w:id="39"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91.982 doanh nghiệp với 102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inverted-U,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literature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literature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49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91.982 doanh nghiệp từ 49 nền kinh tế châu Á và Thái Bình Dương, mở rộng đáng kể từ pool 17 nước (nghiên cứu thành phần P1)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under review): kiểm định inverted-U tại Nhóm IV ICRV, turning point = 39,3–46,2% FSTS, TCI là level-shifter có ý nghĩa.</w:t>
      </w:r>
      <w:r>
        <w:t xml:space="preserve"> </w:t>
      </w:r>
      <w:r>
        <w:rPr>
          <w:bCs/>
          <w:b/>
        </w:rPr>
        <w:t xml:space="preserve">P4</w:t>
      </w:r>
      <w:r>
        <w:t xml:space="preserve"> </w:t>
      </w:r>
      <w:r>
        <w:t xml:space="preserve">(Singapore, MIR, under review): kiểm định tại Nhóm I ICRV, turning point ≈ 88,6% (khoảng tin cậy rất rộng và vượt ngưỡng khả thi của FSTS, nên không định vị tin cậy, xem §4.3), DAI Tier-1+2 khuếch đại đường cong I–P.</w:t>
      </w:r>
      <w:r>
        <w:t xml:space="preserve"> </w:t>
      </w:r>
      <w:r>
        <w:rPr>
          <w:bCs/>
          <w:b/>
        </w:rPr>
        <w:t xml:space="preserve">P5</w:t>
      </w:r>
      <w:r>
        <w:t xml:space="preserve"> </w:t>
      </w:r>
      <w:r>
        <w:t xml:space="preserve">(Trung Quốc,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IBR, under review): k = 238 nghiên cứu, r̄ = 0,074, I² = 62,4%, gradient ICRV Q_M = 17,35 (df = 4, p = ,002).</w:t>
      </w:r>
      <w:r>
        <w:t xml:space="preserve"> </w:t>
      </w:r>
      <w:r>
        <w:rPr>
          <w:bCs/>
          <w:b/>
        </w:rPr>
        <w:t xml:space="preserve">P7</w:t>
      </w:r>
      <w:r>
        <w:t xml:space="preserve"> </w:t>
      </w:r>
      <w:r>
        <w:t xml:space="preserve">(49 nền kinh tế,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(SIDS,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 40,7% →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8"/>
    <w:bookmarkStart w:id="8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robustness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2"/>
    <w:bookmarkEnd w:id="53"/>
    <w:bookmarkStart w:id="59"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7"/>
    <w:bookmarkStart w:id="58"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literature.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8"/>
    <w:bookmarkEnd w:id="59"/>
    <w:bookmarkStart w:id="65" w:name="tổng-quan-thực-nghiệm"/>
    <w:p>
      <w:pPr>
        <w:pStyle w:val="Heading2"/>
      </w:pPr>
      <w:r>
        <w:t xml:space="preserve">2.3 Tổng quan thực nghiệm</w:t>
      </w:r>
    </w:p>
    <w:bookmarkStart w:id="60" w:name="giai-đoạn-phát-triển-của-literature-ip"/>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60"/>
    <w:bookmarkStart w:id="61"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literature với 170 nghiên cứu và 32 quốc gia,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turning point giảm dần khi chuyển từ thể chế yếu sang thể chế mạnh, là moderator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61"/>
    <w:bookmarkStart w:id="62"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inverted-U với ngưỡng FSTS tối ưu khoảng 47,8%, tức điểm turning point khá thấp so với các nền kinh tế tiên tiến. Luận án kế thừa và mở rộng các kết quả này trên pool đầy đủ 49 nền kinh tế (bao gồm 7 nền kinh tế đảo nhỏ Thái Bình Dương (mẫu chính; 9 nền khi mở rộng robustness)).</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2"/>
    <w:bookmarkStart w:id="63"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63"/>
    <w:bookmarkStart w:id="64"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49 nền kinh tế.</w:t>
      </w:r>
    </w:p>
    <w:p>
      <w:r>
        <w:pict>
          <v:rect style="width:0;height:1.5pt" o:hralign="center" o:hrstd="t" o:hr="t"/>
        </w:pict>
      </w:r>
    </w:p>
    <w:bookmarkEnd w:id="64"/>
    <w:bookmarkEnd w:id="65"/>
    <w:bookmarkStart w:id="6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nghiên cứu thành phần P1 là baseline lớn nhất hiện có trong literature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Nghiên cứu thành phần P7 lấp đầy khoảng trống này bằng dữ liệu WBES từ 49 nền kinh tế (mẫu phân tích 91.982 doanh nghiệp; N hồi quy mô hình đầy đủ = 84.910 sau loại bỏ listwise các biến điều tiết, 102 country-year waves), bao phủ toàn bộ gradient ICRV từ nhóm tiên tiến đến SIDS, kiểm định đồng thời H1–H6 với country-year fixed effects. Kết quả turning point trung bình ~36% FSTS tại P7, thấp hơn P3 Vietnam (~40%) và P5 Trung Quốc (~49%),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6"/>
    <w:bookmarkStart w:id="79" w:name="mô-hình-nghiên-cứu-và-hệ-giả-thuyết"/>
    <w:p>
      <w:pPr>
        <w:pStyle w:val="Heading2"/>
      </w:pPr>
      <w:r>
        <w:t xml:space="preserve">2.5 Mô hình nghiên cứu và hệ giả thuyết</w:t>
      </w:r>
    </w:p>
    <w:bookmarkStart w:id="7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moderator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8" name="Picture"/>
            <a:graphic>
              <a:graphicData uri="http://schemas.openxmlformats.org/drawingml/2006/picture">
                <pic:pic>
                  <pic:nvPicPr>
                    <pic:cNvPr descr="figures/fig_2_1_cdcm_conceptual_model.png" id="69" name="Picture"/>
                    <pic:cNvPicPr>
                      <a:picLocks noChangeArrowheads="1" noChangeAspect="1"/>
                    </pic:cNvPicPr>
                  </pic:nvPicPr>
                  <pic:blipFill>
                    <a:blip r:embed="rId67"/>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0"/>
    <w:bookmarkStart w:id="7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71"/>
    <w:bookmarkStart w:id="7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turning point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2"/>
    <w:bookmarkStart w:id="73"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73"/>
    <w:bookmarkStart w:id="7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4"/>
    <w:bookmarkStart w:id="75"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5"/>
    <w:bookmarkStart w:id="76"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6"/>
    <w:bookmarkStart w:id="77"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turning point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7"/>
    <w:bookmarkStart w:id="7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8"/>
    <w:bookmarkEnd w:id="79"/>
    <w:bookmarkStart w:id="8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80"/>
    <w:bookmarkEnd w:id="81"/>
    <w:bookmarkStart w:id="82" w:name="chương-3-phương-pháp-nghiên-cứu"/>
    <w:p>
      <w:pPr>
        <w:pStyle w:val="Heading1"/>
      </w:pPr>
      <w:r>
        <w:t xml:space="preserve">CHƯƠNG 3: PHƯƠNG PHÁP NGHIÊN CỨU</w:t>
      </w:r>
    </w:p>
    <w:bookmarkEnd w:id="82"/>
    <w:p>
      <w:r>
        <w:pict>
          <v:rect style="width:0;height:1.5pt" o:hralign="center" o:hrstd="t" o:hr="t"/>
        </w:pict>
      </w:r>
    </w:p>
    <w:bookmarkStart w:id="85" w:name="thiết-kế-nghiên-cứu-tổng-thể"/>
    <w:p>
      <w:pPr>
        <w:pStyle w:val="Heading2"/>
      </w:pPr>
      <w:r>
        <w:t xml:space="preserve">3.1 Thiết kế nghiên cứu tổng thể</w:t>
      </w:r>
    </w:p>
    <w:bookmarkStart w:id="83"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83"/>
    <w:bookmarkStart w:id="84"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4"/>
    <w:bookmarkEnd w:id="85"/>
    <w:bookmarkStart w:id="89" w:name="phase-1-meta-analysis-19822026"/>
    <w:p>
      <w:pPr>
        <w:pStyle w:val="Heading2"/>
      </w:pPr>
      <w:r>
        <w:t xml:space="preserve">3.2 Phase 1: Meta-analysis 1982–2026</w:t>
      </w:r>
    </w:p>
    <w:bookmarkStart w:id="86"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6"/>
    <w:bookmarkStart w:id="87"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7"/>
    <w:bookmarkStart w:id="88" w:name="quy-trình-prisma"/>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8"/>
    <w:bookmarkEnd w:id="89"/>
    <w:bookmarkStart w:id="98" w:name="X8de0b19c054d402e314fef9726425749df3fc18"/>
    <w:p>
      <w:pPr>
        <w:pStyle w:val="Heading2"/>
      </w:pPr>
      <w:r>
        <w:t xml:space="preserve">3.3 Phase 2: Phân tích thực nghiệm đa quốc gia</w:t>
      </w:r>
    </w:p>
    <w:bookmarkStart w:id="90"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Lower-middle transition, Emerging, SIDS). Quy mô này là lớn nhất cho khu vực trong literature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90"/>
    <w:bookmarkStart w:id="91"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1"/>
    <w:bookmarkStart w:id="9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~47,8% FSTS, làm baseline cho việc kiểm định mở rộng trong luận án.</w:t>
      </w:r>
    </w:p>
    <w:bookmarkEnd w:id="92"/>
    <w:bookmarkStart w:id="96" w:name="đo-lường-biến-điều-tiết"/>
    <w:p>
      <w:pPr>
        <w:pStyle w:val="Heading3"/>
      </w:pPr>
      <w:r>
        <w:t xml:space="preserve">3.3.4 Đo lường biến điều tiết</w:t>
      </w:r>
    </w:p>
    <w:bookmarkStart w:id="93"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3"/>
    <w:bookmarkStart w:id="9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94"/>
    <w:bookmarkStart w:id="9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95"/>
    <w:bookmarkEnd w:id="96"/>
    <w:bookmarkStart w:id="97"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7"/>
    <w:bookmarkEnd w:id="98"/>
    <w:bookmarkStart w:id="113" w:name="mô-hình-phân-tích"/>
    <w:p>
      <w:pPr>
        <w:pStyle w:val="Heading2"/>
      </w:pPr>
      <w:r>
        <w:t xml:space="preserve">3.4 Mô hình phân tích</w:t>
      </w:r>
    </w:p>
    <w:bookmarkStart w:id="99"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99"/>
    <w:bookmarkStart w:id="100"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0"/>
    <w:bookmarkStart w:id="10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101"/>
    <w:bookmarkStart w:id="104" w:name="mô-hình-moderation-h2h6"/>
    <w:p>
      <w:pPr>
        <w:pStyle w:val="Heading3"/>
      </w:pPr>
      <w:r>
        <w:t xml:space="preserve">3.4.4 Mô hình moderation (H2–H6)</w:t>
      </w:r>
    </w:p>
    <w:bookmarkStart w:id="102"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102"/>
    <w:bookmarkStart w:id="103"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103"/>
    <w:bookmarkEnd w:id="104"/>
    <w:bookmarkStart w:id="105"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105"/>
    <w:bookmarkStart w:id="106"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6"/>
        </w:numPr>
        <w:pStyle w:val="Compact"/>
      </w:pPr>
      <w:r>
        <w:rPr>
          <w:bCs/>
          <w:b/>
        </w:rPr>
        <w:t xml:space="preserve">lnNSLD_it</w:t>
      </w:r>
      <w:r>
        <w:t xml:space="preserve"> </w:t>
      </w:r>
      <w:r>
        <w:t xml:space="preserve">= lnLP_it: log năng suất lao động (ln doanh thu PPP / lao động thường xuyên)</w:t>
      </w:r>
    </w:p>
    <w:p>
      <w:pPr>
        <w:numPr>
          <w:ilvl w:val="0"/>
          <w:numId w:val="1006"/>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6"/>
        </w:numPr>
        <w:pStyle w:val="Compact"/>
      </w:pPr>
      <w:r>
        <w:rPr>
          <w:bCs/>
          <w:b/>
        </w:rPr>
        <w:t xml:space="preserve">CDDXK_c²_it</w:t>
      </w:r>
      <w:r>
        <w:t xml:space="preserve"> </w:t>
      </w:r>
      <w:r>
        <w:t xml:space="preserve">= FSTS_c²_it: bình phương cường độ xuất khẩu điều chỉnh</w:t>
      </w:r>
    </w:p>
    <w:p>
      <w:pPr>
        <w:numPr>
          <w:ilvl w:val="0"/>
          <w:numId w:val="1006"/>
        </w:numPr>
        <w:pStyle w:val="Compact"/>
      </w:pPr>
      <w:r>
        <w:rPr>
          <w:bCs/>
          <w:b/>
        </w:rPr>
        <w:t xml:space="preserve">NLCN_z_it</w:t>
      </w:r>
      <w:r>
        <w:t xml:space="preserve"> </w:t>
      </w:r>
      <w:r>
        <w:t xml:space="preserve">= TCI_z_it: năng lực công nghệ (chuẩn hoá z trong sóng)</w:t>
      </w:r>
    </w:p>
    <w:p>
      <w:pPr>
        <w:numPr>
          <w:ilvl w:val="0"/>
          <w:numId w:val="1006"/>
        </w:numPr>
        <w:pStyle w:val="Compact"/>
      </w:pPr>
      <w:r>
        <w:rPr>
          <w:bCs/>
          <w:b/>
        </w:rPr>
        <w:t xml:space="preserve">CSS_z_it</w:t>
      </w:r>
      <w:r>
        <w:t xml:space="preserve"> </w:t>
      </w:r>
      <w:r>
        <w:t xml:space="preserve">= DAI_z_it: chỉ số số hoá cơ sở, Tier-1 (chuẩn hoá z trong sóng)</w:t>
      </w:r>
    </w:p>
    <w:p>
      <w:pPr>
        <w:numPr>
          <w:ilvl w:val="0"/>
          <w:numId w:val="1006"/>
        </w:numPr>
        <w:pStyle w:val="Compact"/>
      </w:pPr>
      <w:r>
        <w:rPr>
          <w:bCs/>
          <w:b/>
        </w:rPr>
        <w:t xml:space="preserve">lnLD, TuoiDN, SoHuuNuocNgoai</w:t>
      </w:r>
      <w:r>
        <w:t xml:space="preserve">: kiểm soát quy mô, tuổi, sở hữu</w:t>
      </w:r>
    </w:p>
    <w:p>
      <w:pPr>
        <w:numPr>
          <w:ilvl w:val="0"/>
          <w:numId w:val="1006"/>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6"/>
    <w:bookmarkStart w:id="107"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7"/>
        </w:numPr>
        <w:pStyle w:val="Compact"/>
      </w:pPr>
      <w:r>
        <w:rPr>
          <w:bCs/>
          <w:b/>
        </w:rPr>
        <w:t xml:space="preserve">lnNSLD_i</w:t>
      </w:r>
      <w:r>
        <w:t xml:space="preserve"> </w:t>
      </w:r>
      <w:r>
        <w:t xml:space="preserve">= lnLP_i: log năng suất lao động (ln doanh thu PPP / lao động thường xuyên)</w:t>
      </w:r>
    </w:p>
    <w:p>
      <w:pPr>
        <w:numPr>
          <w:ilvl w:val="0"/>
          <w:numId w:val="1007"/>
        </w:numPr>
        <w:pStyle w:val="Compact"/>
      </w:pPr>
      <w:r>
        <w:rPr>
          <w:bCs/>
          <w:b/>
        </w:rPr>
        <w:t xml:space="preserve">CDDXK_i</w:t>
      </w:r>
      <w:r>
        <w:t xml:space="preserve"> </w:t>
      </w:r>
      <w:r>
        <w:t xml:space="preserve">= FSTS_i: cường độ xuất khẩu trực tiếp (d3c / 100)</w:t>
      </w:r>
    </w:p>
    <w:p>
      <w:pPr>
        <w:numPr>
          <w:ilvl w:val="0"/>
          <w:numId w:val="1007"/>
        </w:numPr>
        <w:pStyle w:val="Compact"/>
      </w:pPr>
      <w:r>
        <w:rPr>
          <w:bCs/>
          <w:b/>
        </w:rPr>
        <w:t xml:space="preserve">CDDXK_c_i</w:t>
      </w:r>
      <w:r>
        <w:t xml:space="preserve"> </w:t>
      </w:r>
      <w:r>
        <w:t xml:space="preserve">= FSTS_c_i: CDDXK trung bình mẫu; CDDXK_c² là bình phương</w:t>
      </w:r>
    </w:p>
    <w:p>
      <w:pPr>
        <w:numPr>
          <w:ilvl w:val="0"/>
          <w:numId w:val="1007"/>
        </w:numPr>
        <w:pStyle w:val="Compact"/>
      </w:pPr>
      <w:r>
        <w:rPr>
          <w:bCs/>
          <w:b/>
        </w:rPr>
        <w:t xml:space="preserve">NLCN_z_i</w:t>
      </w:r>
      <w:r>
        <w:t xml:space="preserve"> </w:t>
      </w:r>
      <w:r>
        <w:t xml:space="preserve">= TCI_z_i: năng lực công nghệ, z-std của trung bình(b8₀₁, e6₀₁)</w:t>
      </w:r>
    </w:p>
    <w:p>
      <w:pPr>
        <w:numPr>
          <w:ilvl w:val="0"/>
          <w:numId w:val="1007"/>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7"/>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7"/>
        </w:numPr>
        <w:pStyle w:val="Compact"/>
      </w:pPr>
      <w:r>
        <w:rPr>
          <w:bCs/>
          <w:b/>
        </w:rPr>
        <w:t xml:space="preserve">δ_s</w:t>
      </w:r>
      <w:r>
        <w:t xml:space="preserve">: sector fixed effects (ISIC 1-chữ số)</w:t>
      </w:r>
    </w:p>
    <w:p>
      <w:pPr>
        <w:numPr>
          <w:ilvl w:val="0"/>
          <w:numId w:val="1007"/>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7"/>
    <w:bookmarkStart w:id="108"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8"/>
        </w:numPr>
        <w:pStyle w:val="Compact"/>
      </w:pPr>
      <w:r>
        <w:rPr>
          <w:bCs/>
          <w:b/>
        </w:rPr>
        <w:t xml:space="preserve">lnNSLD_it</w:t>
      </w:r>
      <w:r>
        <w:t xml:space="preserve"> </w:t>
      </w:r>
      <w:r>
        <w:t xml:space="preserve">= lnLP_it: log năng suất lao động (biến phụ thuộc)</w:t>
      </w:r>
    </w:p>
    <w:p>
      <w:pPr>
        <w:numPr>
          <w:ilvl w:val="0"/>
          <w:numId w:val="1008"/>
        </w:numPr>
        <w:pStyle w:val="Compact"/>
      </w:pPr>
      <w:r>
        <w:rPr>
          <w:bCs/>
          <w:b/>
        </w:rPr>
        <w:t xml:space="preserve">CDDXK_c_it</w:t>
      </w:r>
      <w:r>
        <w:t xml:space="preserve"> </w:t>
      </w:r>
      <w:r>
        <w:t xml:space="preserve">= FSTS_c_it: cường độ xuất khẩu centred theo trung bình sóng</w:t>
      </w:r>
    </w:p>
    <w:p>
      <w:pPr>
        <w:numPr>
          <w:ilvl w:val="0"/>
          <w:numId w:val="1008"/>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8"/>
        </w:numPr>
        <w:pStyle w:val="Compact"/>
      </w:pPr>
      <w:r>
        <w:rPr>
          <w:bCs/>
          <w:b/>
        </w:rPr>
        <w:t xml:space="preserve">CSS_z_it</w:t>
      </w:r>
      <w:r>
        <w:t xml:space="preserve"> </w:t>
      </w:r>
      <w:r>
        <w:t xml:space="preserve">= DAI_core_it: chỉ số số hoá cơ bản, chỉ c22b₀₁ (Tier-1 mỏng, single-item binary)</w:t>
      </w:r>
    </w:p>
    <w:p>
      <w:pPr>
        <w:numPr>
          <w:ilvl w:val="0"/>
          <w:numId w:val="1008"/>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8"/>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08"/>
    <w:bookmarkStart w:id="111"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9"/>
        </w:numPr>
        <w:pStyle w:val="Compact"/>
      </w:pPr>
      <w:r>
        <w:rPr>
          <w:bCs/>
          <w:b/>
        </w:rPr>
        <w:t xml:space="preserve">lnNSLD_it</w:t>
      </w:r>
      <w:r>
        <w:t xml:space="preserve">: ln(năng suất lao động) = ln(doanh thu / lao động thường trực), biến phụ thuộc</w:t>
      </w:r>
    </w:p>
    <w:p>
      <w:pPr>
        <w:numPr>
          <w:ilvl w:val="0"/>
          <w:numId w:val="1009"/>
        </w:numPr>
        <w:pStyle w:val="Compact"/>
      </w:pPr>
      <w:r>
        <w:rPr>
          <w:bCs/>
          <w:b/>
        </w:rPr>
        <w:t xml:space="preserve">CDDXK_c_it</w:t>
      </w:r>
      <w:r>
        <w:t xml:space="preserve">: cường độ xuất khẩu mean-centred, FSTS_c = (d3c/100) − mean_pool(FSTS)</w:t>
      </w:r>
    </w:p>
    <w:p>
      <w:pPr>
        <w:numPr>
          <w:ilvl w:val="0"/>
          <w:numId w:val="1009"/>
        </w:numPr>
        <w:pStyle w:val="Compact"/>
      </w:pPr>
      <w:r>
        <w:rPr>
          <w:bCs/>
          <w:b/>
        </w:rPr>
        <w:t xml:space="preserve">CDDXK_c²_it</w:t>
      </w:r>
      <w:r>
        <w:t xml:space="preserve">: CDDXK_c bình phương, kiểm định phi tuyến</w:t>
      </w:r>
    </w:p>
    <w:p>
      <w:pPr>
        <w:numPr>
          <w:ilvl w:val="0"/>
          <w:numId w:val="1009"/>
        </w:numPr>
        <w:pStyle w:val="Compact"/>
      </w:pPr>
      <w:r>
        <w:rPr>
          <w:bCs/>
          <w:b/>
        </w:rPr>
        <w:t xml:space="preserve">NLCN_z_it</w:t>
      </w:r>
      <w:r>
        <w:t xml:space="preserve">: năng lực công nghệ z-standardised, TCI_z = z-std(b8, e6)</w:t>
      </w:r>
    </w:p>
    <w:p>
      <w:pPr>
        <w:numPr>
          <w:ilvl w:val="0"/>
          <w:numId w:val="1009"/>
        </w:numPr>
        <w:pStyle w:val="Compact"/>
      </w:pPr>
      <w:r>
        <w:rPr>
          <w:bCs/>
          <w:b/>
        </w:rPr>
        <w:t xml:space="preserve">CSS_z_it</w:t>
      </w:r>
      <w:r>
        <w:t xml:space="preserve">: chỉ số số hoá z-standardised, DAI_z = z-std(website + e-pay, Tier 1+2: c22b/e1, k33)</w:t>
      </w:r>
    </w:p>
    <w:p>
      <w:pPr>
        <w:numPr>
          <w:ilvl w:val="0"/>
          <w:numId w:val="1009"/>
        </w:numPr>
        <w:pStyle w:val="Compact"/>
      </w:pPr>
      <w:r>
        <w:rPr>
          <w:bCs/>
          <w:b/>
        </w:rPr>
        <w:t xml:space="preserve">KNQLy_it</w:t>
      </w:r>
      <w:r>
        <w:t xml:space="preserve">: kinh nghiệm nhà quản lý trong ngành (năm, b7)</w:t>
      </w:r>
    </w:p>
    <w:p>
      <w:pPr>
        <w:numPr>
          <w:ilvl w:val="0"/>
          <w:numId w:val="1009"/>
        </w:numPr>
        <w:pStyle w:val="Compact"/>
      </w:pPr>
      <w:r>
        <w:rPr>
          <w:bCs/>
          <w:b/>
        </w:rPr>
        <w:t xml:space="preserve">NQL_nu_it</w:t>
      </w:r>
      <w:r>
        <w:t xml:space="preserve">: top manager là nữ (binary, b7a/b6a)</w:t>
      </w:r>
    </w:p>
    <w:p>
      <w:pPr>
        <w:numPr>
          <w:ilvl w:val="0"/>
          <w:numId w:val="1009"/>
        </w:numPr>
        <w:pStyle w:val="Compact"/>
      </w:pPr>
      <w:r>
        <w:rPr>
          <w:bCs/>
          <w:b/>
        </w:rPr>
        <w:t xml:space="preserve">ICRV_j</w:t>
      </w:r>
      <w:r>
        <w:t xml:space="preserve">: phân loại chế độ thể chế ICRV (integer 1–6, Advanced→SIDS)</w:t>
      </w:r>
    </w:p>
    <w:p>
      <w:pPr>
        <w:numPr>
          <w:ilvl w:val="0"/>
          <w:numId w:val="1009"/>
        </w:numPr>
        <w:pStyle w:val="Compact"/>
      </w:pPr>
      <w:r>
        <w:rPr>
          <w:bCs/>
          <w:b/>
        </w:rPr>
        <w:t xml:space="preserve">lnLD_it</w:t>
      </w:r>
      <w:r>
        <w:t xml:space="preserve">: ln(lao động thường trực), kiểm soát quy mô doanh nghiệp</w:t>
      </w:r>
    </w:p>
    <w:p>
      <w:pPr>
        <w:numPr>
          <w:ilvl w:val="0"/>
          <w:numId w:val="1009"/>
        </w:numPr>
        <w:pStyle w:val="Compact"/>
      </w:pPr>
      <w:r>
        <w:rPr>
          <w:bCs/>
          <w:b/>
        </w:rPr>
        <w:t xml:space="preserve">TuoiDN_it</w:t>
      </w:r>
      <w:r>
        <w:t xml:space="preserve">: tuổi doanh nghiệp (năm_khảo_sát − b5)</w:t>
      </w:r>
    </w:p>
    <w:p>
      <w:pPr>
        <w:numPr>
          <w:ilvl w:val="0"/>
          <w:numId w:val="1009"/>
        </w:numPr>
        <w:pStyle w:val="Compact"/>
      </w:pPr>
      <w:r>
        <w:rPr>
          <w:bCs/>
          <w:b/>
        </w:rPr>
        <w:t xml:space="preserve">SoHuuNN_it</w:t>
      </w:r>
      <w:r>
        <w:t xml:space="preserve">: tỷ lệ sở hữu nước ngoài (b6a/100)</w:t>
      </w:r>
    </w:p>
    <w:p>
      <w:pPr>
        <w:numPr>
          <w:ilvl w:val="0"/>
          <w:numId w:val="1009"/>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9"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moderator uốn đường cong (H2 moderation null)</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09"/>
    <w:bookmarkStart w:id="110"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III ICRV (Emerging);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0"/>
    <w:bookmarkEnd w:id="111"/>
    <w:bookmarkStart w:id="112"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2"/>
    <w:bookmarkEnd w:id="113"/>
    <w:bookmarkStart w:id="120" w:name="kiểm-định-độ-vững"/>
    <w:p>
      <w:pPr>
        <w:pStyle w:val="Heading2"/>
      </w:pPr>
      <w:r>
        <w:t xml:space="preserve">3.5 Kiểm định độ vững</w:t>
      </w:r>
    </w:p>
    <w:bookmarkStart w:id="114" w:name="thay-đổi-thước-đo"/>
    <w:p>
      <w:pPr>
        <w:pStyle w:val="Heading3"/>
      </w:pPr>
      <w:r>
        <w:t xml:space="preserve">3.5.1 Thay đổi thước đo</w:t>
      </w:r>
    </w:p>
    <w:p>
      <w:pPr>
        <w:numPr>
          <w:ilvl w:val="0"/>
          <w:numId w:val="1010"/>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0"/>
        </w:numPr>
        <w:pStyle w:val="Compact"/>
      </w:pPr>
      <w:r>
        <w:t xml:space="preserve">Biến độc lập: thay FSTS bằng export status (binary), foreign sales count.</w:t>
      </w:r>
    </w:p>
    <w:p>
      <w:pPr>
        <w:numPr>
          <w:ilvl w:val="0"/>
          <w:numId w:val="1010"/>
        </w:numPr>
        <w:pStyle w:val="Compact"/>
      </w:pPr>
      <w:r>
        <w:t xml:space="preserve">Biến moderator: thay DAI_thin bằng DAI_rich (cho subset 2024+).</w:t>
      </w:r>
    </w:p>
    <w:bookmarkEnd w:id="114"/>
    <w:bookmarkStart w:id="115"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5"/>
    <w:bookmarkStart w:id="116"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6"/>
    <w:bookmarkStart w:id="117" w:name="multicollinearity-và-heteroscedasticity"/>
    <w:p>
      <w:pPr>
        <w:pStyle w:val="Heading3"/>
      </w:pPr>
      <w:r>
        <w:t xml:space="preserve">3.5.4 Multicollinearity và heteroscedasticity</w:t>
      </w:r>
    </w:p>
    <w:p>
      <w:pPr>
        <w:numPr>
          <w:ilvl w:val="0"/>
          <w:numId w:val="1011"/>
        </w:numPr>
        <w:pStyle w:val="Compact"/>
      </w:pPr>
      <w:r>
        <w:t xml:space="preserve">VIF cho tất cả mô hình; ngưỡng VIF &lt; 5 (Hair et al., 2019).</w:t>
      </w:r>
    </w:p>
    <w:p>
      <w:pPr>
        <w:numPr>
          <w:ilvl w:val="0"/>
          <w:numId w:val="1011"/>
        </w:numPr>
        <w:pStyle w:val="Compact"/>
      </w:pPr>
      <w:r>
        <w:t xml:space="preserve">Breusch–Pagan test (Breusch &amp; Pagan, 1979).</w:t>
      </w:r>
    </w:p>
    <w:bookmarkEnd w:id="117"/>
    <w:bookmarkStart w:id="118" w:name="sensitivity-analysis-cho-meta-analysis"/>
    <w:p>
      <w:pPr>
        <w:pStyle w:val="Heading3"/>
      </w:pPr>
      <w:r>
        <w:t xml:space="preserve">3.5.5 Sensitivity analysis cho meta-analysis</w:t>
      </w:r>
    </w:p>
    <w:p>
      <w:pPr>
        <w:numPr>
          <w:ilvl w:val="0"/>
          <w:numId w:val="1012"/>
        </w:numPr>
        <w:pStyle w:val="Compact"/>
      </w:pPr>
      <w:r>
        <w:t xml:space="preserve">Leave-one-out: loại từng nghiên cứu và tái tính pooled effect.</w:t>
      </w:r>
    </w:p>
    <w:p>
      <w:pPr>
        <w:numPr>
          <w:ilvl w:val="0"/>
          <w:numId w:val="1012"/>
        </w:numPr>
        <w:pStyle w:val="Compact"/>
      </w:pPr>
      <w:r>
        <w:t xml:space="preserve">Trim-and-fill (Duval &amp; Tweedie, 2000) cho publication bias.</w:t>
      </w:r>
    </w:p>
    <w:bookmarkEnd w:id="118"/>
    <w:bookmarkStart w:id="119"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§4.2.3, §4.6.2). Cách tiếp cận đa lớp này phản ánh thực hành tốt nhất trong kinh tế lượng ứng dụng khi làm việc với dữ liệu quan sát quy mô lớn (Angrist &amp; Pischke, 2009).</w:t>
      </w:r>
    </w:p>
    <w:bookmarkEnd w:id="119"/>
    <w:bookmarkEnd w:id="120"/>
    <w:bookmarkStart w:id="12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21"/>
    <w:bookmarkStart w:id="12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22"/>
    <w:bookmarkStart w:id="123" w:name="chương-4-kết-quả-nghiên-cứu"/>
    <w:p>
      <w:pPr>
        <w:pStyle w:val="Heading1"/>
      </w:pPr>
      <w:r>
        <w:t xml:space="preserve">CHƯƠNG 4: KẾT QUẢ NGHIÊN CỨU</w:t>
      </w:r>
    </w:p>
    <w:bookmarkEnd w:id="123"/>
    <w:p>
      <w:r>
        <w:pict>
          <v:rect style="width:0;height:1.5pt" o:hralign="center" o:hrstd="t" o:hr="t"/>
        </w:pict>
      </w:r>
    </w:p>
    <w:bookmarkStart w:id="12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4"/>
    <w:bookmarkStart w:id="130" w:name="Xed285cd0261846a13dee28de69c0403b250498d"/>
    <w:p>
      <w:pPr>
        <w:pStyle w:val="Heading2"/>
      </w:pPr>
      <w:r>
        <w:t xml:space="preserve">4.1 Thực trạng quốc tế hóa và hiệu quả hoạt động kinh doanh tại châu Á</w:t>
      </w:r>
    </w:p>
    <w:bookmarkStart w:id="125"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§4.1.5) cho thấy bức tranh hiệu quả hoạt động kinh doanh có sự phân tán lớn và không hội tụ. Các bảng phân loại 4.1 dưới đây dựa trên bộ dữ liệu ước lượng đa quốc gia (pool phân loại 96.415 doanh nghiệp / 52 nền; mẫu phân tích 91.982 / 49 nền), trong khi các thống kê mô tả chi tiết của Chuyên đề 1 phủ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1,04</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20,5%, ISO 35,0% và 28,4%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125"/>
    <w:bookmarkStart w:id="12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6"/>
    <w:bookmarkStart w:id="127"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20,5% (Nhóm I) → 10,2% (Nhóm VI); ISO 35,0% → 12,2%; website 61,7% →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(+0,098, so với +0,180–0,201 ở các nhóm chuyển đổi và tài nguyên, Chuyên đề 1, Bảng 2.3.8.1) dù tỷ lệ có website của nhóm này cao nhất (61,7%).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27"/>
    <w:bookmarkStart w:id="128"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28"/>
    <w:bookmarkStart w:id="129"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 đa quốc gia (điểm uốn P7, FIP P8, ngưỡng P9), các mô hình này được chạy trên bộ dữ liệu sẵn có tại thời điểm ước lượng; như mọi mô hình hồi quy có quy mô mẫu khác nhau theo tính sẵn có của biến, việc đưa Nhật Bản và các đợt khảo sát mới nhất vào ước lượng là vòng tái ước lượng tiếp theo (xem §5.5).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khiến Nhật Bản trở thành một trường hợp kiểm định lý tưởng cho vòng nghiên cứu tiếp theo về quan hệ I–P ở biên trên của gradient thể chế (xem §5.5).</w:t>
      </w:r>
    </w:p>
    <w:p>
      <w:r>
        <w:pict>
          <v:rect style="width:0;height:1.5pt" o:hralign="center" o:hrstd="t" o:hr="t"/>
        </w:pict>
      </w:r>
    </w:p>
    <w:bookmarkEnd w:id="129"/>
    <w:bookmarkEnd w:id="130"/>
    <w:bookmarkStart w:id="135" w:name="Xe0084a7c2f7e752cafc4091ca0758f37f91bfa0"/>
    <w:p>
      <w:pPr>
        <w:pStyle w:val="Heading2"/>
      </w:pPr>
      <w:r>
        <w:t xml:space="preserve">4.2 Kết quả tổng hợp định lượng: Meta-analysis ba tầng (P6)</w:t>
      </w:r>
    </w:p>
    <w:bookmarkStart w:id="131"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31"/>
    <w:bookmarkStart w:id="13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32"/>
    <w:bookmarkStart w:id="133"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133"/>
    <w:bookmarkStart w:id="134"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literature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34"/>
    <w:bookmarkEnd w:id="135"/>
    <w:bookmarkStart w:id="139" w:name="Xae571c1410747d630a72c4d12985bac375822ae"/>
    <w:p>
      <w:pPr>
        <w:pStyle w:val="Heading2"/>
      </w:pPr>
      <w:r>
        <w:t xml:space="preserve">4.3 Kết quả bối cảnh thể chế tiên tiến: Đổi mới: Singapore (P4)</w:t>
      </w:r>
    </w:p>
    <w:bookmarkStart w:id="136"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6"/>
    <w:bookmarkStart w:id="137"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7"/>
    <w:bookmarkStart w:id="138"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138"/>
    <w:bookmarkEnd w:id="139"/>
    <w:bookmarkStart w:id="143" w:name="Xabe361c2d5961cf19ce7ab2bd5d9bc6d758140a"/>
    <w:p>
      <w:pPr>
        <w:pStyle w:val="Heading2"/>
      </w:pPr>
      <w:r>
        <w:t xml:space="preserve">4.4 Kết quả bối cảnh thể chế trung bình cao: Trung Quốc, 2012–2024 (P5)</w:t>
      </w:r>
    </w:p>
    <w:bookmarkStart w:id="140"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turning point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40"/>
    <w:bookmarkStart w:id="141"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41"/>
    <w:bookmarkStart w:id="142"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42"/>
    <w:bookmarkEnd w:id="143"/>
    <w:bookmarkStart w:id="148" w:name="Xdbd5cc67084304ba85b73781c0cb0c00b74055b"/>
    <w:p>
      <w:pPr>
        <w:pStyle w:val="Heading2"/>
      </w:pPr>
      <w:r>
        <w:t xml:space="preserve">4.5 Kết quả bối cảnh chuyển đổi bậc thấp–trung: Việt Nam (P3)</w:t>
      </w:r>
    </w:p>
    <w:bookmarkStart w:id="14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44"/>
    <w:bookmarkStart w:id="145"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turning point đã dịch chuyển đáng kể từ 46,2% xuống 39,3% giữa hai làn sóng.</w:t>
      </w:r>
    </w:p>
    <w:bookmarkEnd w:id="145"/>
    <w:bookmarkStart w:id="146"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46"/>
    <w:bookmarkStart w:id="147"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7"/>
    <w:bookmarkEnd w:id="148"/>
    <w:bookmarkStart w:id="155" w:name="X561afa853383c674354c1acb167a55cae3a018f"/>
    <w:p>
      <w:pPr>
        <w:pStyle w:val="Heading2"/>
      </w:pPr>
      <w:r>
        <w:t xml:space="preserve">4.6 Kết quả kiểm định toàn mẫu đa bối cảnh châu Á (P7)</w:t>
      </w:r>
    </w:p>
    <w:bookmarkStart w:id="149"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cấu hình mạnh nhất về kiểm soát phương sai không quan sát (</w:t>
      </w:r>
      <m:oMath>
        <m:sSup>
          <m:e>
            <m:r>
              <m:rPr>
                <m:nor/>
                <m:sty m:val="p"/>
              </m:rPr>
              <m:t>adjR</m:t>
            </m:r>
          </m:e>
          <m:sup>
            <m:r>
              <m:t>2</m:t>
            </m:r>
          </m:sup>
        </m:sSup>
        <m:r>
          <m:rPr>
            <m:sty m:val="p"/>
          </m:rPr>
          <m:t>=</m:t>
        </m:r>
        <m:r>
          <m:rPr>
            <m:sty m:val="p"/>
          </m:rPr>
          <m:t>,</m:t>
        </m:r>
        <m:r>
          <m:t>677</m:t>
        </m:r>
      </m:oMath>
      <w:r>
        <w:t xml:space="preserve">),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p>
      <w:pPr>
        <w:pStyle w:val="BodyText"/>
      </w:pPr>
      <w:r>
        <w:t xml:space="preserve">Bảng 4.4 trình bày tiến triển 11 mô hình lồng nhau, từ đặc tả tuyến tính cơ sở (M0) đến mô hình điều tiết ba chiều đầy đủ (M11), cho thấy điểm uốn ổn định và quan hệ chữ U ngược được xác nhận bằng kiểm định Lind–Mehlum qua mọi cấu hình.</w:t>
      </w:r>
    </w:p>
    <w:p>
      <w:pPr>
        <w:pStyle w:val="BodyText"/>
      </w:pPr>
      <w:r>
        <w:rPr>
          <w:bCs/>
          <w:b/>
        </w:rPr>
        <w:t xml:space="preserve">Bảng 4.4.</w:t>
      </w:r>
      <w:r>
        <w:t xml:space="preserve"> </w:t>
      </w:r>
      <w:r>
        <w:rPr>
          <w:iCs/>
          <w:i/>
        </w:rPr>
        <w:t xml:space="preserve">Tiến triển 11 mô hình lồng nhau của P7: điểm uốn và độ phù hợp.</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right"/>
            </w:pPr>
            <w:r>
              <w:t xml:space="preserve">adjR²</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M0</w:t>
            </w:r>
          </w:p>
        </w:tc>
        <w:tc>
          <w:tcPr/>
          <w:p>
            <w:pPr>
              <w:pStyle w:val="Compact"/>
              <w:jc w:val="right"/>
            </w:pPr>
            <w:r>
              <w:t xml:space="preserve">84.910</w:t>
            </w:r>
          </w:p>
        </w:tc>
        <w:tc>
          <w:tcPr/>
          <w:p>
            <w:pPr>
              <w:pStyle w:val="Compact"/>
              <w:jc w:val="right"/>
            </w:pPr>
            <w:r>
              <w:t xml:space="preserve">,000</w:t>
            </w:r>
          </w:p>
        </w:tc>
        <w:tc>
          <w:tcPr/>
          <w:p>
            <w:pPr>
              <w:pStyle w:val="Compact"/>
              <w:jc w:val="right"/>
            </w:pPr>
            <w:r>
              <w:t xml:space="preserve">—</w:t>
            </w:r>
          </w:p>
        </w:tc>
        <w:tc>
          <w:tcPr/>
          <w:p>
            <w:pPr>
              <w:pStyle w:val="Compact"/>
              <w:jc w:val="righ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right"/>
            </w:pPr>
            <w:r>
              <w:t xml:space="preserve">84.910</w:t>
            </w:r>
          </w:p>
        </w:tc>
        <w:tc>
          <w:tcPr/>
          <w:p>
            <w:pPr>
              <w:pStyle w:val="Compact"/>
              <w:jc w:val="right"/>
            </w:pPr>
            <w:r>
              <w:t xml:space="preserve">,000</w:t>
            </w:r>
          </w:p>
        </w:tc>
        <w:tc>
          <w:tcPr/>
          <w:p>
            <w:pPr>
              <w:pStyle w:val="Compact"/>
              <w:jc w:val="right"/>
            </w:pPr>
            <w:r>
              <w:t xml:space="preserve">—</w:t>
            </w:r>
          </w:p>
        </w:tc>
        <w:tc>
          <w:tcPr/>
          <w:p>
            <w:pPr>
              <w:pStyle w:val="Compact"/>
              <w:jc w:val="right"/>
            </w:pPr>
            <w:r>
              <w:t xml:space="preserve">—</w:t>
            </w:r>
          </w:p>
        </w:tc>
        <w:tc>
          <w:tcPr/>
          <w:p>
            <w:pPr>
              <w:pStyle w:val="Compact"/>
              <w:jc w:val="left"/>
            </w:pPr>
            <w:r>
              <w:t xml:space="preserve">+ biến kiểm soát (không bậc hai)</w:t>
            </w:r>
          </w:p>
        </w:tc>
      </w:tr>
      <w:tr>
        <w:tc>
          <w:tcPr/>
          <w:p>
            <w:pPr>
              <w:pStyle w:val="Compact"/>
              <w:jc w:val="left"/>
            </w:pPr>
            <w:r>
              <w:t xml:space="preserve">M2</w:t>
            </w:r>
          </w:p>
        </w:tc>
        <w:tc>
          <w:tcPr/>
          <w:p>
            <w:pPr>
              <w:pStyle w:val="Compact"/>
              <w:jc w:val="right"/>
            </w:pPr>
            <w:r>
              <w:t xml:space="preserve">84.910</w:t>
            </w:r>
          </w:p>
        </w:tc>
        <w:tc>
          <w:tcPr/>
          <w:p>
            <w:pPr>
              <w:pStyle w:val="Compact"/>
              <w:jc w:val="right"/>
            </w:pPr>
            <w:r>
              <w:t xml:space="preserve">,003</w:t>
            </w:r>
          </w:p>
        </w:tc>
        <w:tc>
          <w:tcPr/>
          <w:p>
            <w:pPr>
              <w:pStyle w:val="Compact"/>
              <w:jc w:val="right"/>
            </w:pPr>
            <w:r>
              <w:t xml:space="preserve">36,4%</w:t>
            </w:r>
          </w:p>
        </w:tc>
        <w:tc>
          <w:tcPr/>
          <w:p>
            <w:pPr>
              <w:pStyle w:val="Compact"/>
              <w:jc w:val="right"/>
            </w:pPr>
            <w:r>
              <w:t xml:space="preserve">&lt;,001</w:t>
            </w:r>
          </w:p>
        </w:tc>
        <w:tc>
          <w:tcPr/>
          <w:p>
            <w:pPr>
              <w:pStyle w:val="Compact"/>
              <w:jc w:val="left"/>
            </w:pPr>
            <w:r>
              <w:t xml:space="preserve">+ FSTS² (β₁ = +1,316; β₂ = −1,810)</w:t>
            </w:r>
          </w:p>
        </w:tc>
      </w:tr>
      <w:tr>
        <w:tc>
          <w:tcPr/>
          <w:p>
            <w:pPr>
              <w:pStyle w:val="Compact"/>
              <w:jc w:val="left"/>
            </w:pPr>
            <w:r>
              <w:t xml:space="preserve">M3</w:t>
            </w:r>
          </w:p>
        </w:tc>
        <w:tc>
          <w:tcPr/>
          <w:p>
            <w:pPr>
              <w:pStyle w:val="Compact"/>
              <w:jc w:val="right"/>
            </w:pPr>
            <w:r>
              <w:t xml:space="preserve">38.342</w:t>
            </w:r>
          </w:p>
        </w:tc>
        <w:tc>
          <w:tcPr/>
          <w:p>
            <w:pPr>
              <w:pStyle w:val="Compact"/>
              <w:jc w:val="right"/>
            </w:pPr>
            <w:r>
              <w:t xml:space="preserve">,015</w:t>
            </w:r>
          </w:p>
        </w:tc>
        <w:tc>
          <w:tcPr/>
          <w:p>
            <w:pPr>
              <w:pStyle w:val="Compact"/>
              <w:jc w:val="right"/>
            </w:pPr>
            <w:r>
              <w:t xml:space="preserve">33,8%</w:t>
            </w:r>
          </w:p>
        </w:tc>
        <w:tc>
          <w:tcPr/>
          <w:p>
            <w:pPr>
              <w:pStyle w:val="Compact"/>
              <w:jc w:val="right"/>
            </w:pPr>
            <w:r>
              <w:t xml:space="preserve">&lt;,001</w:t>
            </w:r>
          </w:p>
        </w:tc>
        <w:tc>
          <w:tcPr/>
          <w:p>
            <w:pPr>
              <w:pStyle w:val="Compact"/>
              <w:jc w:val="left"/>
            </w:pPr>
            <w:r>
              <w:t xml:space="preserve">+ biến kiểm soát</w:t>
            </w:r>
          </w:p>
        </w:tc>
      </w:tr>
      <w:tr>
        <w:tc>
          <w:tcPr/>
          <w:p>
            <w:pPr>
              <w:pStyle w:val="Compact"/>
              <w:jc w:val="left"/>
            </w:pPr>
            <w:r>
              <w:rPr>
                <w:bCs/>
                <w:b/>
              </w:rPr>
              <w:t xml:space="preserve">M5</w:t>
            </w:r>
          </w:p>
        </w:tc>
        <w:tc>
          <w:tcPr/>
          <w:p>
            <w:pPr>
              <w:pStyle w:val="Compact"/>
              <w:jc w:val="right"/>
            </w:pPr>
            <w:r>
              <w:rPr>
                <w:bCs/>
                <w:b/>
              </w:rPr>
              <w:t xml:space="preserve">38.342</w:t>
            </w:r>
          </w:p>
        </w:tc>
        <w:tc>
          <w:tcPr/>
          <w:p>
            <w:pPr>
              <w:pStyle w:val="Compact"/>
              <w:jc w:val="right"/>
            </w:pPr>
            <w:r>
              <w:rPr>
                <w:bCs/>
                <w:b/>
              </w:rPr>
              <w:t xml:space="preserve">,677</w:t>
            </w:r>
          </w:p>
        </w:tc>
        <w:tc>
          <w:tcPr/>
          <w:p>
            <w:pPr>
              <w:pStyle w:val="Compact"/>
              <w:jc w:val="right"/>
            </w:pPr>
            <w:r>
              <w:rPr>
                <w:bCs/>
                <w:b/>
              </w:rPr>
              <w:t xml:space="preserve">40,0%</w:t>
            </w:r>
          </w:p>
        </w:tc>
        <w:tc>
          <w:tcPr/>
          <w:p>
            <w:pPr>
              <w:pStyle w:val="Compact"/>
              <w:jc w:val="right"/>
            </w:pPr>
            <w:r>
              <w:rPr>
                <w:bCs/>
                <w:b/>
              </w:rPr>
              <w:t xml:space="preserve">&lt;,001</w:t>
            </w:r>
          </w:p>
        </w:tc>
        <w:tc>
          <w:tcPr/>
          <w:p>
            <w:pPr>
              <w:pStyle w:val="Compact"/>
              <w:jc w:val="left"/>
            </w:pPr>
            <w:r>
              <w:rPr>
                <w:bCs/>
                <w:b/>
              </w:rPr>
              <w:t xml:space="preserve">+ FE nền kinh tế × năm (mô hình chính)</w:t>
            </w:r>
          </w:p>
        </w:tc>
      </w:tr>
      <w:tr>
        <w:tc>
          <w:tcPr/>
          <w:p>
            <w:pPr>
              <w:pStyle w:val="Compact"/>
              <w:jc w:val="left"/>
            </w:pPr>
            <w:r>
              <w:t xml:space="preserve">M6</w:t>
            </w:r>
          </w:p>
        </w:tc>
        <w:tc>
          <w:tcPr/>
          <w:p>
            <w:pPr>
              <w:pStyle w:val="Compact"/>
              <w:jc w:val="right"/>
            </w:pPr>
            <w:r>
              <w:t xml:space="preserve">38.051</w:t>
            </w:r>
          </w:p>
        </w:tc>
        <w:tc>
          <w:tcPr/>
          <w:p>
            <w:pPr>
              <w:pStyle w:val="Compact"/>
              <w:jc w:val="right"/>
            </w:pPr>
            <w:r>
              <w:t xml:space="preserve">,024</w:t>
            </w:r>
          </w:p>
        </w:tc>
        <w:tc>
          <w:tcPr/>
          <w:p>
            <w:pPr>
              <w:pStyle w:val="Compact"/>
              <w:jc w:val="right"/>
            </w:pPr>
            <w:r>
              <w:t xml:space="preserve">32,7%</w:t>
            </w:r>
          </w:p>
        </w:tc>
        <w:tc>
          <w:tcPr/>
          <w:p>
            <w:pPr>
              <w:pStyle w:val="Compact"/>
              <w:jc w:val="right"/>
            </w:pPr>
            <w:r>
              <w:t xml:space="preserve">&lt;,001</w:t>
            </w:r>
          </w:p>
        </w:tc>
        <w:tc>
          <w:tcPr/>
          <w:p>
            <w:pPr>
              <w:pStyle w:val="Compact"/>
              <w:jc w:val="left"/>
            </w:pPr>
            <w:r>
              <w:t xml:space="preserve">+ TCI (hiệu ứng chính)</w:t>
            </w:r>
          </w:p>
        </w:tc>
      </w:tr>
      <w:tr>
        <w:tc>
          <w:tcPr/>
          <w:p>
            <w:pPr>
              <w:pStyle w:val="Compact"/>
              <w:jc w:val="left"/>
            </w:pPr>
            <w:r>
              <w:t xml:space="preserve">M7</w:t>
            </w:r>
          </w:p>
        </w:tc>
        <w:tc>
          <w:tcPr/>
          <w:p>
            <w:pPr>
              <w:pStyle w:val="Compact"/>
              <w:jc w:val="right"/>
            </w:pPr>
            <w:r>
              <w:t xml:space="preserve">38.051</w:t>
            </w:r>
          </w:p>
        </w:tc>
        <w:tc>
          <w:tcPr/>
          <w:p>
            <w:pPr>
              <w:pStyle w:val="Compact"/>
              <w:jc w:val="right"/>
            </w:pPr>
            <w:r>
              <w:t xml:space="preserve">,025</w:t>
            </w:r>
          </w:p>
        </w:tc>
        <w:tc>
          <w:tcPr/>
          <w:p>
            <w:pPr>
              <w:pStyle w:val="Compact"/>
              <w:jc w:val="right"/>
            </w:pPr>
            <w:r>
              <w:t xml:space="preserve">33,9%</w:t>
            </w:r>
          </w:p>
        </w:tc>
        <w:tc>
          <w:tcPr/>
          <w:p>
            <w:pPr>
              <w:pStyle w:val="Compact"/>
              <w:jc w:val="right"/>
            </w:pPr>
            <w:r>
              <w:t xml:space="preserve">&lt;,001</w:t>
            </w:r>
          </w:p>
        </w:tc>
        <w:tc>
          <w:tcPr/>
          <w:p>
            <w:pPr>
              <w:pStyle w:val="Compact"/>
              <w:jc w:val="left"/>
            </w:pPr>
            <w:r>
              <w:t xml:space="preserve">+ FSTS×TCI, FSTS²×TCI</w:t>
            </w:r>
          </w:p>
        </w:tc>
      </w:tr>
      <w:tr>
        <w:tc>
          <w:tcPr/>
          <w:p>
            <w:pPr>
              <w:pStyle w:val="Compact"/>
              <w:jc w:val="left"/>
            </w:pPr>
            <w:r>
              <w:t xml:space="preserve">M8</w:t>
            </w:r>
          </w:p>
        </w:tc>
        <w:tc>
          <w:tcPr/>
          <w:p>
            <w:pPr>
              <w:pStyle w:val="Compact"/>
              <w:jc w:val="right"/>
            </w:pPr>
            <w:r>
              <w:t xml:space="preserve">37.940</w:t>
            </w:r>
          </w:p>
        </w:tc>
        <w:tc>
          <w:tcPr/>
          <w:p>
            <w:pPr>
              <w:pStyle w:val="Compact"/>
              <w:jc w:val="right"/>
            </w:pPr>
            <w:r>
              <w:t xml:space="preserve">,030</w:t>
            </w:r>
          </w:p>
        </w:tc>
        <w:tc>
          <w:tcPr/>
          <w:p>
            <w:pPr>
              <w:pStyle w:val="Compact"/>
              <w:jc w:val="right"/>
            </w:pPr>
            <w:r>
              <w:t xml:space="preserve">33,8%</w:t>
            </w:r>
          </w:p>
        </w:tc>
        <w:tc>
          <w:tcPr/>
          <w:p>
            <w:pPr>
              <w:pStyle w:val="Compact"/>
              <w:jc w:val="right"/>
            </w:pPr>
            <w:r>
              <w:t xml:space="preserve">&lt;,001</w:t>
            </w:r>
          </w:p>
        </w:tc>
        <w:tc>
          <w:tcPr/>
          <w:p>
            <w:pPr>
              <w:pStyle w:val="Compact"/>
              <w:jc w:val="left"/>
            </w:pPr>
            <w:r>
              <w:t xml:space="preserve">+ DAI + FSTS×DAI, FSTS²×DAI</w:t>
            </w:r>
          </w:p>
        </w:tc>
      </w:tr>
      <w:tr>
        <w:tc>
          <w:tcPr/>
          <w:p>
            <w:pPr>
              <w:pStyle w:val="Compact"/>
              <w:jc w:val="left"/>
            </w:pPr>
            <w:r>
              <w:t xml:space="preserve">M9</w:t>
            </w:r>
          </w:p>
        </w:tc>
        <w:tc>
          <w:tcPr/>
          <w:p>
            <w:pPr>
              <w:pStyle w:val="Compact"/>
              <w:jc w:val="right"/>
            </w:pPr>
            <w:r>
              <w:t xml:space="preserve">35.568</w:t>
            </w:r>
          </w:p>
        </w:tc>
        <w:tc>
          <w:tcPr/>
          <w:p>
            <w:pPr>
              <w:pStyle w:val="Compact"/>
              <w:jc w:val="right"/>
            </w:pPr>
            <w:r>
              <w:t xml:space="preserve">,035</w:t>
            </w:r>
          </w:p>
        </w:tc>
        <w:tc>
          <w:tcPr/>
          <w:p>
            <w:pPr>
              <w:pStyle w:val="Compact"/>
              <w:jc w:val="right"/>
            </w:pPr>
            <w:r>
              <w:t xml:space="preserve">36,1%</w:t>
            </w:r>
          </w:p>
        </w:tc>
        <w:tc>
          <w:tcPr/>
          <w:p>
            <w:pPr>
              <w:pStyle w:val="Compact"/>
              <w:jc w:val="right"/>
            </w:pPr>
            <w:r>
              <w:t xml:space="preserve">&lt;,001</w:t>
            </w:r>
          </w:p>
        </w:tc>
        <w:tc>
          <w:tcPr/>
          <w:p>
            <w:pPr>
              <w:pStyle w:val="Compact"/>
              <w:jc w:val="left"/>
            </w:pPr>
            <w:r>
              <w:t xml:space="preserve">+ nhà quản trị + tương tác</w:t>
            </w:r>
          </w:p>
        </w:tc>
      </w:tr>
      <w:tr>
        <w:tc>
          <w:tcPr/>
          <w:p>
            <w:pPr>
              <w:pStyle w:val="Compact"/>
              <w:jc w:val="left"/>
            </w:pPr>
            <w:r>
              <w:t xml:space="preserve">M10</w:t>
            </w:r>
          </w:p>
        </w:tc>
        <w:tc>
          <w:tcPr/>
          <w:p>
            <w:pPr>
              <w:pStyle w:val="Compact"/>
              <w:jc w:val="right"/>
            </w:pPr>
            <w:r>
              <w:t xml:space="preserve">31.928</w:t>
            </w:r>
          </w:p>
        </w:tc>
        <w:tc>
          <w:tcPr/>
          <w:p>
            <w:pPr>
              <w:pStyle w:val="Compact"/>
              <w:jc w:val="right"/>
            </w:pPr>
            <w:r>
              <w:t xml:space="preserve">,049</w:t>
            </w:r>
          </w:p>
        </w:tc>
        <w:tc>
          <w:tcPr/>
          <w:p>
            <w:pPr>
              <w:pStyle w:val="Compact"/>
              <w:jc w:val="right"/>
            </w:pPr>
            <w:r>
              <w:t xml:space="preserve">—</w:t>
            </w:r>
          </w:p>
        </w:tc>
        <w:tc>
          <w:tcPr/>
          <w:p>
            <w:pPr>
              <w:pStyle w:val="Compact"/>
              <w:jc w:val="right"/>
            </w:pPr>
            <w:r>
              <w:t xml:space="preserve">n.s.</w:t>
            </w:r>
          </w:p>
        </w:tc>
        <w:tc>
          <w:tcPr/>
          <w:p>
            <w:pPr>
              <w:pStyle w:val="Compact"/>
              <w:jc w:val="left"/>
            </w:pPr>
            <w:r>
              <w:t xml:space="preserve">+ ICRV + FSTS×ICRV, FSTS²×ICRV</w:t>
            </w:r>
          </w:p>
        </w:tc>
      </w:tr>
      <w:tr>
        <w:tc>
          <w:tcPr/>
          <w:p>
            <w:pPr>
              <w:pStyle w:val="Compact"/>
              <w:jc w:val="left"/>
            </w:pPr>
            <w:r>
              <w:t xml:space="preserve">M11</w:t>
            </w:r>
          </w:p>
        </w:tc>
        <w:tc>
          <w:tcPr/>
          <w:p>
            <w:pPr>
              <w:pStyle w:val="Compact"/>
              <w:jc w:val="right"/>
            </w:pPr>
            <w:r>
              <w:t xml:space="preserve">29.840</w:t>
            </w:r>
          </w:p>
        </w:tc>
        <w:tc>
          <w:tcPr/>
          <w:p>
            <w:pPr>
              <w:pStyle w:val="Compact"/>
              <w:jc w:val="right"/>
            </w:pPr>
            <w:r>
              <w:t xml:space="preserve">,067</w:t>
            </w:r>
          </w:p>
        </w:tc>
        <w:tc>
          <w:tcPr/>
          <w:p>
            <w:pPr>
              <w:pStyle w:val="Compact"/>
              <w:jc w:val="right"/>
            </w:pPr>
            <w:r>
              <w:t xml:space="preserve">34,6%</w:t>
            </w:r>
          </w:p>
        </w:tc>
        <w:tc>
          <w:tcPr/>
          <w:p>
            <w:pPr>
              <w:pStyle w:val="Compact"/>
              <w:jc w:val="right"/>
            </w:pPr>
            <w:r>
              <w:t xml:space="preserve">,002</w:t>
            </w:r>
          </w:p>
        </w:tc>
        <w:tc>
          <w:tcPr/>
          <w:p>
            <w:pPr>
              <w:pStyle w:val="Compact"/>
              <w:jc w:val="left"/>
            </w:pPr>
            <w:r>
              <w:t xml:space="preserve">+ ba chiều DAI×ICRV×FSTS</w:t>
            </w:r>
          </w:p>
        </w:tc>
      </w:tr>
    </w:tbl>
    <w:p>
      <w:pPr>
        <w:pStyle w:val="BodyText"/>
      </w:pPr>
      <w:r>
        <w:rPr>
          <w:iCs/>
          <w:i/>
        </w:rPr>
        <w:t xml:space="preserve">Nguồn: P7 (Đỗ &amp; Phan, 2026). Điểm uốn xác nhận bằng kiểm định Lind–Mehlum (2010). Mô hình M5 là đặc tả chính với hiệu ứng cố định hai chiều; adjR² nhảy lên ,677 phản ánh phần lớn phương sai năng suất được giải thích bởi khác biệt nền kinh tế × năm.</w:t>
      </w:r>
    </w:p>
    <w:p>
      <w:pPr>
        <w:pStyle w:val="BodyText"/>
      </w:pPr>
      <w:r>
        <w:rPr>
          <w:bCs/>
          <w:b/>
        </w:rPr>
        <w:t xml:space="preserve">Phạm vi thời gian của mẫu.</w:t>
      </w:r>
      <w:r>
        <w:t xml:space="preserve"> </w:t>
      </w:r>
      <w:r>
        <w:t xml:space="preserve">Mẫu phân tích của P7 được chốt tại 49 nền kinh tế với các đợt khảo sát đến thời điểm xây dựng bộ dữ liệu. Một số đợt khảo sát công bố sau thời điểm chốt mẫu, đáng chú ý là Nhật Bản 2025 (nền kinh tế lần đầu được WBES khảo sát, thuộc nhóm thể chế tiên tiến) và các đợt 2024–2026 của nhiều nền trong khung, thuộc bộ dữ liệu của vòng tái ước lượng tiếp theo (xem §5.5). Về mặt kỳ vọng, do mô hình dùng hiệu ứng cố định nền kinh tế và Nhật Bản có biến thiên quốc tế hóa thấp (FSTS trung bình khoảng 4%), việc bổ sung quan sát này nhiều khả năng chỉ tinh chỉnh ước lượng của Nhóm I mà không làm thay đổi gradient điểm uốn giữa các nhóm.</w:t>
      </w:r>
    </w:p>
    <w:bookmarkEnd w:id="149"/>
    <w:bookmarkStart w:id="153" w:name="gradient-icrv-xác-nhận-h5"/>
    <w:p>
      <w:pPr>
        <w:pStyle w:val="Heading3"/>
      </w:pPr>
      <w:r>
        <w:t xml:space="preserve">4.6.2 Gradient ICRV: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TP(Emerging/SIDS)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meta-analytic và primary empirical, cùng chỉ ra gradient ICRV, tạo ra independent confirmation có giá trị.</w:t>
      </w:r>
    </w:p>
    <w:p>
      <w:pPr>
        <w:pStyle w:val="CaptionedFigure"/>
      </w:pPr>
      <w:r>
        <w:drawing>
          <wp:inline>
            <wp:extent cx="5753100" cy="3849196"/>
            <wp:effectExtent b="0" l="0" r="0" t="0"/>
            <wp:docPr descr="Hình 4.1. Họ đường cong I–P phụ thuộc chế độ thể chế ICRV" title="" id="151" name="Picture"/>
            <a:graphic>
              <a:graphicData uri="http://schemas.openxmlformats.org/drawingml/2006/picture">
                <pic:pic>
                  <pic:nvPicPr>
                    <pic:cNvPr descr="figures/fig_4_x_ip_curves_icrv_gradient.png" id="152" name="Picture"/>
                    <pic:cNvPicPr>
                      <a:picLocks noChangeArrowheads="1" noChangeAspect="1"/>
                    </pic:cNvPicPr>
                  </pic:nvPicPr>
                  <pic:blipFill>
                    <a:blip r:embed="rId150"/>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153"/>
    <w:bookmarkStart w:id="154"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có ý nghĩa thống kê dương trên toàn mẫu,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15"/>
        </w:numPr>
        <w:pStyle w:val="Compact"/>
      </w:pPr>
      <w:r>
        <w:rPr>
          <w:bCs/>
          <w:b/>
        </w:rPr>
        <w:t xml:space="preserve">DAI</w:t>
      </w:r>
      <w:r>
        <w:t xml:space="preserve">: có ý nghĩa thống kê toàn mẫu,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154"/>
    <w:bookmarkEnd w:id="155"/>
    <w:bookmarkStart w:id="160" w:name="X42f69945b56833cca239d45dc5864a7be6f74d7"/>
    <w:p>
      <w:pPr>
        <w:pStyle w:val="Heading2"/>
      </w:pPr>
      <w:r>
        <w:t xml:space="preserve">4.7 Kết quả trường hợp biên SIDS: Các nền kinh tế đảo nhỏ đang phát triển (P8)</w:t>
      </w:r>
    </w:p>
    <w:bookmarkStart w:id="156"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6"/>
    <w:bookmarkStart w:id="157"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turning point trong phạm vi dữ liệu.</w:t>
      </w:r>
    </w:p>
    <w:bookmarkEnd w:id="157"/>
    <w:bookmarkStart w:id="158"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literature internationalization–firm performance cho khu vực Thái Bình Dương.</w:t>
      </w:r>
    </w:p>
    <w:bookmarkEnd w:id="158"/>
    <w:bookmarkStart w:id="15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159"/>
    <w:bookmarkEnd w:id="160"/>
    <w:bookmarkStart w:id="161"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4.5.</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61"/>
    <w:bookmarkStart w:id="162"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điểm uốn của quan hệ I–P dịch dần ra phía cường độ xuất khẩu cao hơn theo chiều thể chế yếu đi, từ khoảng 28% ở nhóm Advanced đổi mới đến khoảng 55% ở nhóm Emerging và SIDS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literature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(§4.3.2,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62"/>
    <w:bookmarkStart w:id="163"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4.6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4.6.</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(+0,26→+0,43)</w:t>
            </w:r>
          </w:p>
        </w:tc>
        <w:tc>
          <w:tcPr/>
          <w:p>
            <w:pPr>
              <w:pStyle w:val="Compact"/>
              <w:jc w:val="left"/>
            </w:pPr>
            <w:r>
              <w:t xml:space="preserve">—</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w:t>
            </w:r>
          </w:p>
        </w:tc>
        <w:tc>
          <w:tcPr/>
          <w:p>
            <w:pPr>
              <w:pStyle w:val="Compact"/>
              <w:jc w:val="left"/>
            </w:pPr>
            <w:r>
              <w:t xml:space="preserve">—</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(49 nền, I–VI)</w:t>
            </w:r>
          </w:p>
        </w:tc>
        <w:tc>
          <w:tcPr/>
          <w:p>
            <w:pPr>
              <w:pStyle w:val="Compact"/>
              <w:jc w:val="right"/>
            </w:pPr>
            <w:r>
              <w:t xml:space="preserve">84.910</w:t>
            </w:r>
          </w:p>
        </w:tc>
        <w:tc>
          <w:tcPr/>
          <w:p>
            <w:pPr>
              <w:pStyle w:val="Compact"/>
              <w:jc w:val="left"/>
            </w:pPr>
            <w:r>
              <w:t xml:space="preserve">U ngược</w:t>
            </w:r>
          </w:p>
        </w:tc>
        <w:tc>
          <w:tcPr/>
          <w:p>
            <w:pPr>
              <w:pStyle w:val="Compact"/>
              <w:jc w:val="left"/>
            </w:pPr>
            <w:r>
              <w:t xml:space="preserve">40,0% (M5); gradient 28%→55%</w:t>
            </w:r>
          </w:p>
        </w:tc>
        <w:tc>
          <w:tcPr/>
          <w:p>
            <w:pPr>
              <w:pStyle w:val="Compact"/>
              <w:jc w:val="left"/>
            </w:pPr>
            <w:r>
              <w:t xml:space="preserve">nâng mặt bằng (+41%)</w:t>
            </w:r>
          </w:p>
        </w:tc>
        <w:tc>
          <w:tcPr/>
          <w:p>
            <w:pPr>
              <w:pStyle w:val="Compact"/>
              <w:jc w:val="left"/>
            </w:pPr>
            <w:r>
              <w:t xml:space="preserve">nâng mặt bằng + nén đường cong</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 sụp đổ ngưỡng</w:t>
            </w:r>
          </w:p>
        </w:tc>
        <w:tc>
          <w:tcPr/>
          <w:p>
            <w:pPr>
              <w:pStyle w:val="Compact"/>
              <w:jc w:val="left"/>
            </w:pPr>
            <w:r>
              <w:t xml:space="preserve">61,8%→40,7%→tan biến</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tổng hợp từ các nghiên cứu thành phần P3–P9. ** p &lt; ,01; *** p &lt; ,001. Điểm uốn xác nhận bằng kiểm định Lind–Mehlum (2010). Điểm uốn P7 = 40,0% ở mô hình đầy đủ M5 (dải 33,8–40,0% giữa các đặc tả; M11 = 34,6%).</w:t>
      </w:r>
    </w:p>
    <w:p>
      <w:pPr>
        <w:pStyle w:val="BodyText"/>
      </w:pPr>
      <w:r>
        <w:t xml:space="preserve">Bảng 4.6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63"/>
    <w:bookmarkStart w:id="16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64"/>
    <w:bookmarkStart w:id="165" w:name="chương-5-kết-luận-và-đề-xuất"/>
    <w:p>
      <w:pPr>
        <w:pStyle w:val="Heading1"/>
      </w:pPr>
      <w:r>
        <w:t xml:space="preserve">CHƯƠNG 5: KẾT LUẬN VÀ ĐỀ XUẤT</w:t>
      </w:r>
    </w:p>
    <w:bookmarkEnd w:id="165"/>
    <w:p>
      <w:r>
        <w:pict>
          <v:rect style="width:0;height:1.5pt" o:hralign="center" o:hrstd="t" o:hr="t"/>
        </w:pict>
      </w:r>
    </w:p>
    <w:bookmarkStart w:id="166"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6"/>
    <w:bookmarkStart w:id="173" w:name="Xff8cef3ed320f9cf6f3fba4ff558bfed3af19c6"/>
    <w:p>
      <w:pPr>
        <w:pStyle w:val="Heading2"/>
      </w:pPr>
      <w:r>
        <w:t xml:space="preserve">5.1 Bàn luận kết quả theo khung lý thuyết CDCM</w:t>
      </w:r>
    </w:p>
    <w:bookmarkStart w:id="167"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đều chỉ đến cùng một kết luận: điểm uốn (turning point) của quan hệ I–P</w:t>
      </w:r>
      <w:r>
        <w:t xml:space="preserve"> </w:t>
      </w:r>
      <w:r>
        <w:rPr>
          <w:bCs/>
          <w:b/>
        </w:rPr>
        <w:t xml:space="preserve">giảm dần</w:t>
      </w:r>
      <w:r>
        <w:t xml:space="preserve"> </w:t>
      </w:r>
      <w:r>
        <w:t xml:space="preserve">từ SIDS/Emerging (~55% FSTS) xuống Lower-middle transition, Upper-middle, Advanced Resource, và Advanced Innovation (~28% FSTS). Hay nói cách khác, nền kinh tế thể chế mạnh hơn đạt đỉnh hiệu quả xuất khẩu tại mức FSTS thấp hơn,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167"/>
    <w:bookmarkStart w:id="168"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68"/>
    <w:bookmarkStart w:id="169"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w:t>
      </w:r>
      <w:r>
        <w:t xml:space="preserve"> </w:t>
      </w:r>
      <w:r>
        <w:t xml:space="preserve">“</w:t>
      </w:r>
      <w:r>
        <w:t xml:space="preserve">digital shield effect</w:t>
      </w:r>
      <w:r>
        <w:t xml:space="preserve">”</w:t>
      </w:r>
      <w:r>
        <w:t xml:space="preserve"> </w:t>
      </w:r>
      <w:r>
        <w:t xml:space="preserve">phát huy mạnh nhất khi nền tảng thể chế còn thiếu hụt, không phải khi thể chế đã hoàn thiện.</w:t>
      </w:r>
    </w:p>
    <w:bookmarkEnd w:id="169"/>
    <w:bookmarkStart w:id="170" w:name="X9c0cd9664cda47af8ea782aa1697b3fd1384e63"/>
    <w:p>
      <w:pPr>
        <w:pStyle w:val="Heading3"/>
      </w:pPr>
      <w:r>
        <w:t xml:space="preserve">5.1.4 Đặc Điểm Nhà Quản Trị là Moderator Cá Nhân: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70"/>
    <w:bookmarkStart w:id="171"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country+year FE,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171"/>
    <w:bookmarkStart w:id="172"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72"/>
    <w:bookmarkEnd w:id="173"/>
    <w:bookmarkStart w:id="177" w:name="so-sánh-với-nghiên-cứu-trước-đây"/>
    <w:p>
      <w:pPr>
        <w:pStyle w:val="Heading2"/>
      </w:pPr>
      <w:r>
        <w:t xml:space="preserve">5.2 So sánh với nghiên cứu trước đây</w:t>
      </w:r>
    </w:p>
    <w:bookmarkStart w:id="174"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vấn đề chủ yếu là</w:t>
      </w:r>
      <w:r>
        <w:t xml:space="preserve"> </w:t>
      </w:r>
      <w:r>
        <w:rPr>
          <w:bCs/>
          <w:b/>
        </w:rPr>
        <w:t xml:space="preserve">đo lường bên trong nghiên cứu</w:t>
      </w:r>
      <w:r>
        <w:t xml:space="preserve">, không phải sự bất đồng căn bản giữa các nghiên cứu.</w:t>
      </w:r>
    </w:p>
    <w:bookmarkEnd w:id="174"/>
    <w:bookmarkStart w:id="175"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§4.3) đến TP ≈ 39,7% (Việt Nam pooled,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không phải là S-curve hay inverted-U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bối cảnh underrepresented trong literature Lu và Beamish.</w:t>
      </w:r>
    </w:p>
    <w:bookmarkEnd w:id="175"/>
    <w:bookmarkStart w:id="176"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176"/>
    <w:bookmarkEnd w:id="177"/>
    <w:bookmarkStart w:id="181" w:name="đóng-góp-lý-thuyết-1"/>
    <w:p>
      <w:pPr>
        <w:pStyle w:val="Heading2"/>
      </w:pPr>
      <w:r>
        <w:t xml:space="preserve">5.3 Đóng góp lý thuyết</w:t>
      </w:r>
    </w:p>
    <w:bookmarkStart w:id="17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8"/>
    <w:bookmarkStart w:id="179"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literature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turning point để thoát khỏi.</w:t>
      </w:r>
    </w:p>
    <w:bookmarkEnd w:id="179"/>
    <w:bookmarkStart w:id="180"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SIDS/Emerging (~55%) xuống Advanced Innovation (~28%), thể chế càng mạnh, doanh nghiệp đạt đỉnh hiệu quả ở mức quốc tế hóa thấp hơn, xác nhận giá trị dự đoán của phân loại.</w:t>
      </w:r>
    </w:p>
    <w:p>
      <w:r>
        <w:pict>
          <v:rect style="width:0;height:1.5pt" o:hralign="center" o:hrstd="t" o:hr="t"/>
        </w:pict>
      </w:r>
    </w:p>
    <w:bookmarkEnd w:id="180"/>
    <w:bookmarkEnd w:id="181"/>
    <w:bookmarkStart w:id="186" w:name="đề-xuất-chính-sách-và-quản-trị"/>
    <w:p>
      <w:pPr>
        <w:pStyle w:val="Heading2"/>
      </w:pPr>
      <w:r>
        <w:t xml:space="preserve">5.4 Đề xuất chính sách và quản trị</w:t>
      </w:r>
    </w:p>
    <w:bookmarkStart w:id="182"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82"/>
    <w:bookmarkStart w:id="183" w:name="Xb72945ffcd7baeba99eebb1118ccccd8ec07fb7"/>
    <w:p>
      <w:pPr>
        <w:pStyle w:val="Heading3"/>
      </w:pPr>
      <w:r>
        <w:t xml:space="preserve">5.4.2 Đề xuất cho nhà quản trị doanh nghiệp: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83"/>
    <w:bookmarkStart w:id="184"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84"/>
    <w:bookmarkStart w:id="185"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185"/>
    <w:bookmarkEnd w:id="186"/>
    <w:bookmarkStart w:id="191" w:name="hạn-chế-và-hướng-nghiên-cứu-tương-lai"/>
    <w:p>
      <w:pPr>
        <w:pStyle w:val="Heading2"/>
      </w:pPr>
      <w:r>
        <w:t xml:space="preserve">5.5 Hạn chế và hướng nghiên cứu tương lai</w:t>
      </w:r>
    </w:p>
    <w:bookmarkStart w:id="18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7"/>
    <w:bookmarkStart w:id="188"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8"/>
    <w:bookmarkStart w:id="189"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9"/>
    <w:bookmarkStart w:id="190"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mở rộng khung ước lượng để tích hợp Nhật Bản 2025, nền kinh tế tiên tiến lớn lần đầu được WBES khảo sát. Như trình bày ở §4.1.5, đặc trưng mô tả của Nhật Bản (phân tán năng suất hẹp nhất sd 0,89; website 83,8%; tuổi doanh nghiệp trung bình 50,4 năm; FSTS cấp cơ sở thấp 4,1% bất chấp R&amp;D cao) khiến nền kinh tế này trở thành một trường hợp kiểm định đặc biệt giá trị cho quan hệ I–P ở biên trên của gradient thể chế. Việc đưa Nhật Bản vào ước lượng điểm uốn P7 sẽ kiểm tra được dự đoán của khung ICRV rằng ở chế độ thể chế mạnh và đồng đều nhất, không gian quốc tế hóa có lợi là rộng nhất hoặc quan hệ I–P tiệm cận tuyến tính dương; đây là vòng ước lượng tiếp theo khi nhóm tác giả chạy lại mô hình gốc trên bộ dữ liệu mở rộng.</w:t>
      </w:r>
    </w:p>
    <w:p>
      <w:r>
        <w:pict>
          <v:rect style="width:0;height:1.5pt" o:hralign="center" o:hrstd="t" o:hr="t"/>
        </w:pict>
      </w:r>
    </w:p>
    <w:bookmarkEnd w:id="190"/>
    <w:bookmarkEnd w:id="191"/>
    <w:bookmarkStart w:id="196" w:name="kết-luận"/>
    <w:p>
      <w:pPr>
        <w:pStyle w:val="Heading2"/>
      </w:pPr>
      <w:r>
        <w:t xml:space="preserve">5.6 Kết luận</w:t>
      </w:r>
    </w:p>
    <w:bookmarkStart w:id="192"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7"/>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7"/>
        </w:numPr>
      </w:pPr>
      <w:r>
        <w:rPr>
          <w:bCs/>
          <w:b/>
        </w:rPr>
        <w:t xml:space="preserve">P3</w:t>
      </w:r>
      <w:r>
        <w:t xml:space="preserve">: phân tích Việt Nam (Lower-mid Transition), xác nhận inverted-U với TP = 39,3–46,2%, TCI là moderator dương có ý nghĩa.</w:t>
      </w:r>
    </w:p>
    <w:p>
      <w:pPr>
        <w:numPr>
          <w:ilvl w:val="0"/>
          <w:numId w:val="1017"/>
        </w:numPr>
      </w:pPr>
      <w:r>
        <w:rPr>
          <w:bCs/>
          <w:b/>
        </w:rPr>
        <w:t xml:space="preserve">P4</w:t>
      </w:r>
      <w:r>
        <w:t xml:space="preserve">: phân tích Singapore (Advanced Innovation), xác nhận inverted-U với TP ≈ 88,6% (rộng CI), DAI khuếch đại tại mức FSTS cao.</w:t>
      </w:r>
    </w:p>
    <w:p>
      <w:pPr>
        <w:numPr>
          <w:ilvl w:val="0"/>
          <w:numId w:val="1017"/>
        </w:numPr>
      </w:pPr>
      <w:r>
        <w:rPr>
          <w:bCs/>
          <w:b/>
        </w:rPr>
        <w:t xml:space="preserve">P5</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17"/>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turning point.</w:t>
      </w:r>
    </w:p>
    <w:p>
      <w:pPr>
        <w:numPr>
          <w:ilvl w:val="0"/>
          <w:numId w:val="1017"/>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 40,7% (2022) →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192"/>
    <w:bookmarkStart w:id="19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thể chế càng mạnh, turning point càng sớm (FSTS thấp hơn).</w:t>
      </w:r>
    </w:p>
    <w:bookmarkEnd w:id="193"/>
    <w:bookmarkStart w:id="19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194"/>
    <w:bookmarkStart w:id="19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195"/>
    <w:bookmarkEnd w:id="196"/>
    <w:bookmarkStart w:id="23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7"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7"/>
    <w:bookmarkStart w:id="198"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198"/>
    <w:bookmarkStart w:id="199"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9"/>
    <w:bookmarkStart w:id="200"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00"/>
    <w:bookmarkStart w:id="201"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01"/>
    <w:bookmarkStart w:id="202"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02"/>
    <w:bookmarkStart w:id="203"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03"/>
    <w:bookmarkStart w:id="204" w:name="h.-firm-performance-đa-chiều"/>
    <w:p>
      <w:pPr>
        <w:pStyle w:val="Heading2"/>
      </w:pPr>
      <w:r>
        <w:t xml:space="preserve">H. Firm performance đa chiều</w:t>
      </w:r>
    </w:p>
    <w:p>
      <w:pPr>
        <w:pStyle w:val="FirstParagraph"/>
      </w:pPr>
      <w:r>
        <w:t xml:space="preserve">(Giữ nguyên từ v2.1.)</w:t>
      </w:r>
    </w:p>
    <w:bookmarkEnd w:id="204"/>
    <w:bookmarkStart w:id="205"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05"/>
    <w:bookmarkStart w:id="20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06"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06"/>
    <w:bookmarkEnd w:id="207"/>
    <w:bookmarkStart w:id="20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8"/>
    <w:bookmarkStart w:id="209"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9"/>
    <w:bookmarkStart w:id="21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10"/>
    <w:bookmarkStart w:id="21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11"/>
    <w:bookmarkStart w:id="212"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212"/>
    <w:bookmarkStart w:id="21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13"/>
    <w:bookmarkStart w:id="21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14"/>
    <w:bookmarkStart w:id="21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15"/>
    <w:bookmarkStart w:id="21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16"/>
    <w:bookmarkStart w:id="21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217"/>
    <w:bookmarkStart w:id="221" w:name="hướng-dẫn-sử-dụng-cập-nhật-v2.5"/>
    <w:p>
      <w:pPr>
        <w:pStyle w:val="Heading2"/>
      </w:pPr>
      <w:r>
        <w:t xml:space="preserve">Hướng dẫn sử dụng (cập nhật v2.5)</w:t>
      </w:r>
    </w:p>
    <w:bookmarkStart w:id="218" w:name="trong-bản-thảo-luận-án"/>
    <w:p>
      <w:pPr>
        <w:pStyle w:val="Heading3"/>
      </w:pPr>
      <w:r>
        <w:t xml:space="preserve">Trong bản thảo luận án</w:t>
      </w:r>
    </w:p>
    <w:p>
      <w:pPr>
        <w:numPr>
          <w:ilvl w:val="0"/>
          <w:numId w:val="1018"/>
        </w:numPr>
        <w:pStyle w:val="Compact"/>
      </w:pPr>
      <w:r>
        <w:t xml:space="preserve">Dùng in-text citation theo author–date.</w:t>
      </w:r>
    </w:p>
    <w:p>
      <w:pPr>
        <w:numPr>
          <w:ilvl w:val="0"/>
          <w:numId w:val="1018"/>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8"/>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8"/>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8"/>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8"/>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8"/>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8"/>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8"/>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8"/>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8"/>
        </w:numPr>
        <w:pStyle w:val="Compact"/>
      </w:pPr>
      <w:r>
        <w:rPr>
          <w:bCs/>
          <w:b/>
        </w:rPr>
        <w:t xml:space="preserve">Trích dẫn Section P — Data360 Atlas (v2.6)</w:t>
      </w:r>
      <w:r>
        <w:t xml:space="preserve">:</w:t>
      </w:r>
    </w:p>
    <w:p>
      <w:pPr>
        <w:numPr>
          <w:ilvl w:val="1"/>
          <w:numId w:val="1019"/>
        </w:numPr>
        <w:pStyle w:val="Compact"/>
      </w:pPr>
      <w:r>
        <w:t xml:space="preserve">Internet access story:</w:t>
      </w:r>
      <w:r>
        <w:t xml:space="preserve"> </w:t>
      </w:r>
      <w:r>
        <w:t xml:space="preserve">“</w:t>
      </w:r>
      <w:r>
        <w:t xml:space="preserve">Pirlea &amp; Corso (2026)</w:t>
      </w:r>
      <w:r>
        <w:t xml:space="preserve">”</w:t>
      </w:r>
    </w:p>
    <w:p>
      <w:pPr>
        <w:numPr>
          <w:ilvl w:val="1"/>
          <w:numId w:val="1019"/>
        </w:numPr>
        <w:pStyle w:val="Compact"/>
      </w:pPr>
      <w:r>
        <w:t xml:space="preserve">AI inequality story:</w:t>
      </w:r>
      <w:r>
        <w:t xml:space="preserve"> </w:t>
      </w:r>
      <w:r>
        <w:t xml:space="preserve">“</w:t>
      </w:r>
      <w:r>
        <w:t xml:space="preserve">Mahler, Wang &amp; Weber (2026)</w:t>
      </w:r>
      <w:r>
        <w:t xml:space="preserve">”</w:t>
      </w:r>
    </w:p>
    <w:p>
      <w:pPr>
        <w:numPr>
          <w:ilvl w:val="1"/>
          <w:numId w:val="1019"/>
        </w:numPr>
        <w:pStyle w:val="Compact"/>
      </w:pPr>
      <w:r>
        <w:t xml:space="preserve">Atlas overview/statistics:</w:t>
      </w:r>
      <w:r>
        <w:t xml:space="preserve"> </w:t>
      </w:r>
      <w:r>
        <w:t xml:space="preserve">“</w:t>
      </w:r>
      <w:r>
        <w:t xml:space="preserve">Pirlea et al. (2026 — Atlas)</w:t>
      </w:r>
      <w:r>
        <w:t xml:space="preserve">”</w:t>
      </w:r>
    </w:p>
    <w:p>
      <w:pPr>
        <w:numPr>
          <w:ilvl w:val="1"/>
          <w:numId w:val="1019"/>
        </w:numPr>
        <w:pStyle w:val="Compact"/>
      </w:pPr>
      <w:r>
        <w:t xml:space="preserve">Commodity markets blog:</w:t>
      </w:r>
      <w:r>
        <w:t xml:space="preserve"> </w:t>
      </w:r>
      <w:r>
        <w:t xml:space="preserve">“</w:t>
      </w:r>
      <w:r>
        <w:t xml:space="preserve">Agnolucci, Kenworthy &amp; Kose (2026)</w:t>
      </w:r>
      <w:r>
        <w:t xml:space="preserve">”</w:t>
      </w:r>
    </w:p>
    <w:p>
      <w:pPr>
        <w:numPr>
          <w:ilvl w:val="1"/>
          <w:numId w:val="1019"/>
        </w:numPr>
        <w:pStyle w:val="Compact"/>
      </w:pPr>
      <w:r>
        <w:t xml:space="preserve">AI financial supervision G20:</w:t>
      </w:r>
      <w:r>
        <w:t xml:space="preserve"> </w:t>
      </w:r>
      <w:r>
        <w:t xml:space="preserve">“</w:t>
      </w:r>
      <w:r>
        <w:t xml:space="preserve">Boeddu et al. (2025)</w:t>
      </w:r>
      <w:r>
        <w:t xml:space="preserve">”</w:t>
      </w:r>
    </w:p>
    <w:p>
      <w:pPr>
        <w:numPr>
          <w:ilvl w:val="0"/>
          <w:numId w:val="1018"/>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8"/>
        </w:numPr>
        <w:pStyle w:val="Compact"/>
      </w:pPr>
      <w:r>
        <w:rPr>
          <w:bCs/>
          <w:b/>
        </w:rPr>
        <w:t xml:space="preserve">Trích dẫn Section Q — Singapore ecosystem (v2.7)</w:t>
      </w:r>
      <w:r>
        <w:t xml:space="preserve">:</w:t>
      </w:r>
    </w:p>
    <w:p>
      <w:pPr>
        <w:numPr>
          <w:ilvl w:val="1"/>
          <w:numId w:val="1020"/>
        </w:numPr>
        <w:pStyle w:val="Compact"/>
      </w:pPr>
      <w:r>
        <w:t xml:space="preserve">SWITCH 2025:</w:t>
      </w:r>
      <w:r>
        <w:t xml:space="preserve"> </w:t>
      </w:r>
      <w:r>
        <w:t xml:space="preserve">“</w:t>
      </w:r>
      <w:r>
        <w:t xml:space="preserve">Enterprise Singapore (2025)</w:t>
      </w:r>
      <w:r>
        <w:t xml:space="preserve">”</w:t>
      </w:r>
    </w:p>
    <w:p>
      <w:pPr>
        <w:numPr>
          <w:ilvl w:val="1"/>
          <w:numId w:val="1020"/>
        </w:numPr>
        <w:pStyle w:val="Compact"/>
      </w:pPr>
      <w:r>
        <w:t xml:space="preserve">Digital government rankings:</w:t>
      </w:r>
      <w:r>
        <w:t xml:space="preserve"> </w:t>
      </w:r>
      <w:r>
        <w:t xml:space="preserve">“</w:t>
      </w:r>
      <w:r>
        <w:t xml:space="preserve">GovTech Singapore (2024)</w:t>
      </w:r>
      <w:r>
        <w:t xml:space="preserve">”</w:t>
      </w:r>
    </w:p>
    <w:p>
      <w:pPr>
        <w:numPr>
          <w:ilvl w:val="1"/>
          <w:numId w:val="1020"/>
        </w:numPr>
        <w:pStyle w:val="Compact"/>
      </w:pPr>
      <w:r>
        <w:t xml:space="preserve">ATxSG summit:</w:t>
      </w:r>
      <w:r>
        <w:t xml:space="preserve"> </w:t>
      </w:r>
      <w:r>
        <w:t xml:space="preserve">“</w:t>
      </w:r>
      <w:r>
        <w:t xml:space="preserve">IMDA (2025)</w:t>
      </w:r>
      <w:r>
        <w:t xml:space="preserve">”</w:t>
      </w:r>
    </w:p>
    <w:p>
      <w:pPr>
        <w:numPr>
          <w:ilvl w:val="1"/>
          <w:numId w:val="1020"/>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8"/>
        </w:numPr>
        <w:pStyle w:val="Compact"/>
      </w:pPr>
      <w:r>
        <w:rPr>
          <w:bCs/>
          <w:b/>
        </w:rPr>
        <w:t xml:space="preserve">Trích dẫn Section T — WB Working Papers 2015/2026 (v2.9)</w:t>
      </w:r>
      <w:r>
        <w:t xml:space="preserve">:</w:t>
      </w:r>
    </w:p>
    <w:p>
      <w:pPr>
        <w:numPr>
          <w:ilvl w:val="1"/>
          <w:numId w:val="1021"/>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1"/>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21"/>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1"/>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1"/>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8"/>
    <w:bookmarkStart w:id="219" w:name="khi-nộp-bản-cuối"/>
    <w:p>
      <w:pPr>
        <w:pStyle w:val="Heading3"/>
      </w:pPr>
      <w:r>
        <w:t xml:space="preserve">Khi nộp bản cuối</w:t>
      </w:r>
    </w:p>
    <w:p>
      <w:pPr>
        <w:numPr>
          <w:ilvl w:val="0"/>
          <w:numId w:val="1022"/>
        </w:numPr>
        <w:pStyle w:val="Compact"/>
      </w:pPr>
      <w:r>
        <w:t xml:space="preserve">Xác minh DOI trên Crossref hoặc trang publisher cho các entry không quen thuộc.</w:t>
      </w:r>
    </w:p>
    <w:p>
      <w:pPr>
        <w:numPr>
          <w:ilvl w:val="0"/>
          <w:numId w:val="1022"/>
        </w:numPr>
        <w:pStyle w:val="Compact"/>
      </w:pPr>
      <w:r>
        <w:t xml:space="preserve">Kiểm tra nhất quán italic và punctuation theo APA 7th.</w:t>
      </w:r>
    </w:p>
    <w:p>
      <w:pPr>
        <w:numPr>
          <w:ilvl w:val="0"/>
          <w:numId w:val="1022"/>
        </w:numPr>
        <w:pStyle w:val="Compact"/>
      </w:pPr>
      <w:r>
        <w:t xml:space="preserve">Yang et al. (2025) JBR: hiện chưa verify được volume/pages — cần kiểm tra Crossref hoặc loại bỏ.</w:t>
      </w:r>
    </w:p>
    <w:p>
      <w:pPr>
        <w:numPr>
          <w:ilvl w:val="0"/>
          <w:numId w:val="1022"/>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2"/>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2"/>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9"/>
    <w:bookmarkStart w:id="220"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20"/>
    <w:bookmarkEnd w:id="221"/>
    <w:bookmarkStart w:id="22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22"/>
    <w:bookmarkStart w:id="22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23"/>
    <w:bookmarkStart w:id="22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24"/>
    <w:bookmarkStart w:id="22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25"/>
    <w:bookmarkStart w:id="22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26" w:name="X041759103c7c799db9799d6bd71834307a428c8"/>
    <w:p>
      <w:pPr>
        <w:pStyle w:val="Heading3"/>
      </w:pPr>
      <w:r>
        <w:t xml:space="preserve">Công trình của tác giả luận án — Cập nhật Section M</w:t>
      </w:r>
    </w:p>
    <w:bookmarkEnd w:id="226"/>
    <w:bookmarkStart w:id="22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7"/>
    <w:bookmarkStart w:id="22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28"/>
    <w:bookmarkEnd w:id="229"/>
    <w:bookmarkStart w:id="230" w:name="Xfcfd97cb98ed3f4d1b64063e814942600c7ed0b"/>
    <w:p>
      <w:pPr>
        <w:pStyle w:val="Heading2"/>
      </w:pPr>
      <w:r>
        <w:t xml:space="preserve">Bổ sung v2.8 — Thao tác hóa FSTS trực tiếp/gián tiếp (Chương 3 §3.3.2, CĐ1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30"/>
    <w:bookmarkStart w:id="231" w:name="X0594839b64ebc9cf139e008fd0f7618dc7babbe"/>
    <w:p>
      <w:pPr>
        <w:pStyle w:val="Heading2"/>
      </w:pPr>
      <w:r>
        <w:t xml:space="preserve">Bổ sung v2.9 — Phân biệt cấu trúc số (Chương 2 §2.2.5, Chương 3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r>
        <w:br w:type="page"/>
      </w:r>
    </w:p>
    <w:bookmarkEnd w:id="231"/>
    <w:bookmarkEnd w:id="232"/>
    <w:bookmarkStart w:id="243"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33"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33"/>
    <w:bookmarkStart w:id="234"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34"/>
    <w:bookmarkStart w:id="235"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w:t>
            </w:r>
          </w:p>
        </w:tc>
        <w:tc>
          <w:tcPr/>
          <w:p>
            <w:pPr>
              <w:pStyle w:val="Compact"/>
              <w:jc w:val="left"/>
            </w:pPr>
            <w:r>
              <w:t xml:space="preserve">Pool phân loại =</w:t>
            </w:r>
            <w:r>
              <w:t xml:space="preserve"> </w:t>
            </w:r>
            <w:r>
              <w:rPr>
                <w:bCs/>
                <w:b/>
              </w:rPr>
              <w:t xml:space="preserve">96.415</w:t>
            </w:r>
            <w:r>
              <w:t xml:space="preserve"> </w:t>
            </w:r>
            <w:r>
              <w:t xml:space="preserve">DN (52 nền) → khung 49 nền =</w:t>
            </w:r>
            <w:r>
              <w:t xml:space="preserve"> </w:t>
            </w:r>
            <w:r>
              <w:rPr>
                <w:bCs/>
                <w:b/>
              </w:rPr>
              <w:t xml:space="preserve">91.864</w:t>
            </w:r>
            <w:r>
              <w:t xml:space="preserve"> </w:t>
            </w:r>
            <w:r>
              <w:t xml:space="preserve">DN</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w:t>
            </w:r>
            <w:r>
              <w:t xml:space="preserve"> </w:t>
            </w:r>
            <w:r>
              <w:rPr>
                <w:bCs/>
                <w:b/>
              </w:rPr>
              <w:t xml:space="preserve">91.982</w:t>
            </w:r>
            <w:r>
              <w:t xml:space="preserve">; N hồi quy M2 =</w:t>
            </w:r>
            <w:r>
              <w:t xml:space="preserve"> </w:t>
            </w:r>
            <w:r>
              <w:rPr>
                <w:bCs/>
                <w:b/>
              </w:rPr>
              <w:t xml:space="preserve">84.910</w:t>
            </w:r>
            <w:r>
              <w:t xml:space="preserve">; mô hình đầy đủ M5 =</w:t>
            </w:r>
            <w:r>
              <w:t xml:space="preserve"> </w:t>
            </w:r>
            <w:r>
              <w:rPr>
                <w:bCs/>
                <w:b/>
              </w:rPr>
              <w:t xml:space="preserve">38.342</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G["91.982 DN · 49 nền&lt;br/&gt;(MẪU PHÂN TÍCH)"]</w:t>
      </w:r>
      <w:r>
        <w:br/>
      </w:r>
      <w:r>
        <w:rPr>
          <w:rStyle w:val="VerbatimChar"/>
        </w:rPr>
        <w:t xml:space="preserve">    G --&gt;|"S6 · listwise tập biến trọng tâm"| H["84.910, N hồi quy M2"]</w:t>
      </w:r>
      <w:r>
        <w:br/>
      </w:r>
      <w:r>
        <w:rPr>
          <w:rStyle w:val="VerbatimChar"/>
        </w:rPr>
        <w:t xml:space="preserve">    H --&gt;|"+ đầy đủ biến kiểm soát"| I["38.342, M5 (two-way FE)"]</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105 sóng chuẩn ≥2006 của 49 nền, 80.523 doanh nghiệp–năm)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 đã khóa</w:t>
      </w:r>
      <w:r>
        <w:t xml:space="preserve"> </w:t>
      </w:r>
      <w:r>
        <w:t xml:space="preserve">của luận án</w:t>
      </w:r>
      <w:r>
        <w:t xml:space="preserve"> </w:t>
      </w:r>
      <w:r>
        <w:t xml:space="preserve">(96.415 / 91.982 / 84.910) được báo cáo từ tệp pool gốc và là con số được trích dẫn trong</w:t>
      </w:r>
      <w:r>
        <w:t xml:space="preserve"> </w:t>
      </w:r>
      <w:r>
        <w:t xml:space="preserve">Chương 3–4. Sai khác giữa hai lớp được công bố minh bạch để hội đồng kiểm chứng.</w:t>
      </w:r>
    </w:p>
    <w:bookmarkEnd w:id="235"/>
    <w:bookmarkStart w:id="236"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3"/>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3"/>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3"/>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23"/>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6"/>
    <w:bookmarkStart w:id="237"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4"/>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4"/>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37"/>
    <w:bookmarkStart w:id="238"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38"/>
    <w:bookmarkStart w:id="239"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loại ba nền ngoài</w:t>
      </w:r>
      <w:r>
        <w:t xml:space="preserve"> </w:t>
      </w:r>
      <w:r>
        <w:t xml:space="preserve">khu vực (Comoros, Cyprus, Türkiye) khỏi mẫu phân tích chính trong khi vẫn giữ chúng ở pool</w:t>
      </w:r>
      <w:r>
        <w:t xml:space="preserve"> </w:t>
      </w:r>
      <w:r>
        <w:t xml:space="preserve">phân loại 52 nền cho mục đích robustness (riêng Comoros được dùng trong kiểm định độ vững</w:t>
      </w:r>
      <w:r>
        <w:t xml:space="preserve"> </w:t>
      </w:r>
      <w:r>
        <w:t xml:space="preserve">mở rộng của P8).</w:t>
      </w:r>
    </w:p>
    <w:bookmarkEnd w:id="239"/>
    <w:bookmarkStart w:id="240"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40"/>
    <w:bookmarkStart w:id="241"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41"/>
    <w:bookmarkStart w:id="242"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42"/>
    <w:bookmarkEnd w:id="24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50" Target="media/rId1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2026-06-12T11:35:47Z</dcterms:created>
  <dcterms:modified xsi:type="dcterms:W3CDTF">2026-06-12T11:35:47Z</dcterms:modified>
</cp:coreProperties>
</file>

<file path=docProps/custom.xml><?xml version="1.0" encoding="utf-8"?>
<Properties xmlns="http://schemas.openxmlformats.org/officeDocument/2006/custom-properties" xmlns:vt="http://schemas.openxmlformats.org/officeDocument/2006/docPropsVTypes"/>
</file>