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hương-1-giới-thiệu"/>
    <w:p>
      <w:pPr>
        <w:pStyle w:val="Heading1"/>
      </w:pPr>
      <w:r>
        <w:t xml:space="preserve">CHƯƠNG 1: GIỚI THIỆU</w:t>
      </w:r>
    </w:p>
    <w:bookmarkEnd w:id="20"/>
    <w:p>
      <w:r>
        <w:pict>
          <v:rect style="width:0;height:1.5pt" o:hralign="center" o:hrstd="t" o:hr="t"/>
        </w:pict>
      </w:r>
    </w:p>
    <w:bookmarkStart w:id="2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quốc tế hóa–hiệu quả doanh nghiệp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quốc tế hóa và hiệu quả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số hóa thông tin đến số hóa quy trình và chuyển đổi số toàn diện. Tuy nhiên, phần lớn bằng chứng thực nghiệm hiện có về vai trò của năng lực số trong quan hệ quốc tế hóa và hiệu quả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Lý thuyết thể chế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khoảng trống thể chế</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Lý thuyết thượng tầng quản trị (Hambrick &amp; Mason, 1984) khẳng định rằng quyết định chiến lược phản ánh đặc điểm nhận thức, kinh nghiệm và giá trị của nhà quản trị. Kinh nghiệm quốc tế giúp nhà quản trị nhận diện cơ hội và giảm chi phí của gánh nặng người nước ngoài,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quốc tế hóa và hiệu quả trong bối cảnh châu Á.</w:t>
      </w:r>
    </w:p>
    <w:bookmarkStart w:id="21"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quốc tế hóa và hiệu quả với nhu cầu chính sách đương đại bằng một khung đa tầng và bằng chứng cấp doanh nghiệp quy mô lớn nhất từng có cho khu vực.</w:t>
      </w:r>
    </w:p>
    <w:p>
      <w:r>
        <w:pict>
          <v:rect style="width:0;height:1.5pt" o:hralign="center" o:hrstd="t" o:hr="t"/>
        </w:pict>
      </w:r>
    </w:p>
    <w:bookmarkEnd w:id="21"/>
    <w:bookmarkStart w:id="22" w:name="X346fcb4d6ebbabf90a0e086a0b893e2cbb8cd87"/>
    <w:p>
      <w:pPr>
        <w:pStyle w:val="Heading3"/>
      </w:pPr>
      <w:r>
        <w:t xml:space="preserve">1.1.2 Hội tụ của ba lực dịch chuyển vào câu hỏi cấp doanh nghiệp</w:t>
      </w:r>
    </w:p>
    <w:p>
      <w:pPr>
        <w:pStyle w:val="FirstParagraph"/>
      </w:pPr>
      <w:r>
        <w:t xml:space="preserve">Ba lực dịch chuyển vĩ mô nêu trên không tác động độc lập mà giao thoa theo cách làm sắc nét thêm câu hỏi nghiên cứu ở cấp doanh nghiệp. Áp lực việc làm ở các nền kinh tế biên chỉ được hóa giải nếu khu vực doanh nghiệp tạo ra được việc làm năng suất cao, mà nguồn năng suất quan trọng nhất ở các nền kinh tế nhỏ và mở chính là sự tham gia hiệu quả vào thị trường quốc tế. Do đó, câu hỏi về điều kiện để quốc tế hóa cải thiện hiệu quả doanh nghiệp gắn trực tiếp với năng lực hấp thụ lực lượng lao động trẻ đang gia tăng nhanh trong khu vực.</w:t>
      </w:r>
    </w:p>
    <w:p>
      <w:pPr>
        <w:pStyle w:val="BodyText"/>
      </w:pPr>
      <w:r>
        <w:t xml:space="preserve">Gradient thể chế (institutional gradient) là trục tổ chức xuyên suốt của luận án. Khu vực châu Á và lân cận trải dài từ những nền kinh tế đổi mới dẫn dắt với pháp quyền mạnh đến những nền kinh tế đảo nhỏ có hạ tầng thể chế sơ khai, tạo ra một dải biến thiên thể chế hiếm có để kiểm định liệu cùng một mức độ quốc tế hóa có tạo ra kết quả khác nhau theo chế độ thể chế hay không. Chính dải biến thiên này, chứ không phải một quốc gia đơn lẻ, là điều kiện cho phép phân biệt giữa giả thuyết về một quy luật phổ quát và giả thuyết về một quan hệ có điều kiện.</w:t>
      </w:r>
    </w:p>
    <w:p>
      <w:pPr>
        <w:pStyle w:val="BodyText"/>
      </w:pPr>
      <w:r>
        <w:t xml:space="preserve">Kỷ nguyên số bổ sung một chiều phức tạp mới. Khi công cụ số trở nên phổ cập, ranh giới giữa chiều sâu năng lực công nghệ nội tại và mức độ chấp nhận công cụ số bề mặt dễ bị xóa nhòa trong đo lường, dẫn đến nguy cơ quy hai cơ chế khác nhau về một hiệu ứng đồng nhất. Vì hai loại năng lực số này có thể tác động trái chiều theo chế độ thể chế, việc giữ chúng tách biệt trở thành điều kiện tiên quyết để rút ra hàm ý chính sách chính xác cho từng nhóm nền kinh tế trong khu vực.</w:t>
      </w:r>
    </w:p>
    <w:bookmarkEnd w:id="22"/>
    <w:bookmarkEnd w:id="23"/>
    <w:bookmarkStart w:id="2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quốc tế hóa và hiệu quả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quốc tế hóa và hiệu quả phụ thuộc sâu sắc vào điều kiện bối cảnh. Arte và Larimo (2022) lập luận rằng dị biệt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dị biệt cao đó. Các nghiên cứu hiện tại thường chọn một hoặc hai lý thuyết làm nền, dẫn đến mô hình không đủ đa tầng để nắm bắt sự phức tạp thực tế. Mô hình Uppsala giải thích chi phí học hỏi nhưng không đủ để xử lý vai trò của thể chế; lý thuyết dựa trên nguồn lực giải thích sự khác biệt năng lực nhưng bỏ qua bối cảnh vĩ mô; lý thuyết thể chế giải thích bối cảnh vĩ mô nhưng không tích hợp đặc điểm cá nhân nhà quản trị. Không một lý thuyết nào đứng riêng có thể giải thích đầy đủ dị biệt đó. Khoảng trống thứ hai là sự đồng nhất không hợp lý giữa hai cấu trúc số khác nhau về bản chất: năng lực công nghệ, chiều sâu năng lực công nghệ nhập vào tổ chức, và chấp nhận số, mức độ áp dụng công cụ số bề mặt trong hoạt động kinh doanh. Nhiều nghiên cứu trước gộp hai cấu trúc này thành một chỉ số chỉ số hợp thành duy nhất, điều này làm giảm độ chính xác của kết luận và có thể che khuất các cơ chế tác động khác nhau (Bharadwaj et al., 2013; Coltman et al., 2008; Verhoef et al., 2021). Khoảng trống thứ ba là thiếu bằng chứng đa quốc gia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Ba khoảng trống trên cần được phát biểu sắc nét hơn để làm rõ rằng chúng không phải là ba thiếu sót rời rạc mà là ba biểu hiện của cùng một hạn chế nền tảng: tài liệu hiện hành thiếu một cấu trúc giải thích đủ phân tầng để nắm bắt mức dị biệt cao của quan hệ quốc tế hóa và hiệu quả. Về khoảng trống thứ nhất, không một lý thuyết đơn lẻ nào, dù là mô hình Uppsala, lý thuyết dựa trên nguồn lực hay lý thuyết thể chế, cung cấp được một lý giải đầy đủ cho sự dị biệt đó, bởi mỗi lý thuyết chỉ soi sáng một loại dị biệt và bỏ trống các tầng còn lại. Hennart (2007) cảnh báo rằng quan hệ giữa mức độ đa quốc gia và hiệu quả không phải là quy luật phổ quát tự thân mà phụ thuộc vào bản chất tài sản đặc thù được khai thác xuyên biên giới, hàm ý rằng việc kiểm định một dạng hàm duy nhất cho mọi bối cảnh là không thỏa đáng về mặt lý thuyết.</w:t>
      </w:r>
    </w:p>
    <w:p>
      <w:pPr>
        <w:pStyle w:val="BodyText"/>
      </w:pPr>
      <w:r>
        <w:t xml:space="preserve">Về khoảng trống thứ hai, sự đồng nhất không hợp lý giữa năng lực công nghệ và mức độ chấp nhận số không chỉ là vấn đề tinh chỉnh đo lường mà có hệ quả lý thuyết trực tiếp. Khi hai cấu trúc có chiều sâu tổ chức khác nhau bị gộp thành một chỉ số tổng hợp duy nhất, hai cơ chế tác động có thể trái chiều sẽ bị trung bình hóa, làm che khuất chính cơ chế mà nhà quản trị và nhà hoạch định chính sách cần phân biệt khi quyết định đầu tư vào chiều sâu năng lực hay vào công cụ giao diện.</w:t>
      </w:r>
    </w:p>
    <w:p>
      <w:pPr>
        <w:pStyle w:val="BodyText"/>
      </w:pPr>
      <w:r>
        <w:t xml:space="preserve">Về khoảng trống thứ ba, sự thiếu đại diện của các nền kinh tế chuyển đổi và các nền kinh tế đảo nhỏ đang phát triển không chỉ thu hẹp phạm vi mẫu mà còn làm suy yếu khả năng kiểm định điều kiện biên của lý thuyết. Các nỗ lực tái lặp quy mô lớn với chiến lược nhận diện chặt chẽ cho thấy dạng hàm chữ U ngược suy yếu đáng kể, thậm chí biến mất, trong các mẫu gộp xuyên quốc gia (Berry &amp; Kaul, 2016; Pisani et al., 2020), củng cố lập luận rằng chính dị biệt bối cảnh, chứ không phải một quy luật phổ quát, mới chi phối kết quả quốc tế hóa và hiệu quả. Đúng các địa điểm cực trị về thể chế, nơi điều kiện biên dễ bộc lộ nhất, lại là nơi tài liệu thiếu vắng bằng chứng nhất.</w:t>
      </w:r>
    </w:p>
    <w:p>
      <w:pPr>
        <w:pStyle w:val="BodyText"/>
      </w:pPr>
      <w:r>
        <w:t xml:space="preserve">Luận án này được thiết kế để giải quyết ba khoảng trống đó bằng cách xây dựng và kiểm định một khung giải thích đa tầng cho quan hệ quốc tế hóa và hiệu quả tại châu Á, với thiết kế hỗn hợp tổng hợp–thực nghiệm kết hợp phân tích tổng hợp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dị biệt cao trong quan hệ quốc tế hóa và hiệu quả.</w:t>
      </w:r>
    </w:p>
    <w:p>
      <w:r>
        <w:pict>
          <v:rect style="width:0;height:1.5pt" o:hralign="center" o:hrstd="t" o:hr="t"/>
        </w:pict>
      </w:r>
    </w:p>
    <w:bookmarkEnd w:id="24"/>
    <w:bookmarkStart w:id="2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phân tích tổng hợp về mối quan hệ quốc tế hóa và hiệu quả trong giai đoạn 1977–2026, xác định tác động tổng hợp, mức độ dị biệt và các nhân tố điều tiết (các biến điều tiết) chính giải thích dị biệt trong tài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quốc tế hóa và hiệu quả vận hành khác nhau theo bối cảnh quốc gia. Mục tiêu cụ thể thứ ba là mở rộng phân tích sang 49 nền kinh tế châu Á và Thái Bình Dương (bao gồm 7 nền kinh tế Pacific SIDS) để kiểm định khả năng khái quát hóa của các phát hiện trên phạm vi rộng, kế thừa và mở rộng từ mẫu gộp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25"/>
    <w:bookmarkStart w:id="2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tài liệu 1977–2026 là gì, mức độ dị biệt ở mức nào, và những các biến điều tiết nào giải thích dị biệt đó một cách có hệ thống? Câu hỏi nghiên cứu thứ hai (RQ2) là: Trong từng bối cảnh quốc gia cụ thể bao gồm Singapore, Việt Nam và Trung Quốc, mối quan hệ quốc tế hóa và hiệu quả vận hành theo những cơ chế đặc thù nào và sự phi tuyến có biểu hiện ra sao? Câu hỏi nghiên cứu thứ ba (RQ3) là: Trên phạm vi đa quốc gia châu Á bao gồm 49 nền kinh tế châu Á và Thái Bình Dương (bao gồm 7 nền kinh tế Pacific SIDS), vai trò điều tiết của chỉ số chấp nhận số (DAI) và năng lực công nghệ index (TCI) có khái quát hóa được không, và hai cấu trúc này có thực sự vận hành theo các cơ chế khác nhau không? Câu hỏi nghiên cứu thứ tư (RQ4) là: Vai trò của thể chế, đo bằng chế độ con ICRV, cùng với sự phân biệt giữa TCI và DAI, và đặc điểm nhà quản trị trong việc điều tiết mối quan hệ quốc tế hóa và hiệu quả là gì, và sự tương tác ba chiều giữa ba tầng đó có ý nghĩa như thế nào?</w:t>
      </w:r>
    </w:p>
    <w:p>
      <w:r>
        <w:pict>
          <v:rect style="width:0;height:1.5pt" o:hralign="center" o:hrstd="t" o:hr="t"/>
        </w:pict>
      </w:r>
    </w:p>
    <w:bookmarkEnd w:id="26"/>
    <w:bookmarkStart w:id="31" w:name="đối-tượng-và-phạm-vi-nghiên-cứu"/>
    <w:p>
      <w:pPr>
        <w:pStyle w:val="Heading2"/>
      </w:pPr>
      <w:r>
        <w:t xml:space="preserve">1.5 Đối tượng và phạm vi nghiên cứu</w:t>
      </w:r>
    </w:p>
    <w:bookmarkStart w:id="2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27"/>
    <w:bookmarkStart w:id="2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49 nền kinh tế châu Á và Thái Bình Dương</w:t>
      </w:r>
      <w:r>
        <w:t xml:space="preserve"> </w:t>
      </w:r>
      <w:r>
        <w:t xml:space="preserve">có dữ liệu trong Khảo sát Doanh nghiệp của Ngân hàng Thế giới (World Bank Enterprise Surveys, WBES), được phân loại và tổ chức theo 6 chế độ con trong khung ICRV. Sáu chế độ con bao gồm: (i) tiên tiến đổi mới, gồm Singapore, Hong Kong SAR, Hàn Quốc, Đài Loan, Israel và Nhật Bản; (ii) tiên tiến tài nguyên-Driven, đại diện là các nền kinh tế GCC; (iii) trung bình cao, đại diện là Trung Quốc và Malaysia; (iv) chuyển đổi thu nhập trung bình thấp, bao gồm Việt Nam và các nền kinh tế ASEAN đang phát triển; (v) đang nổi,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quốc tế hóa và hiệu quả.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28"/>
    <w:bookmarkStart w:id="29" w:name="phạm-vi-thời-gian"/>
    <w:p>
      <w:pPr>
        <w:pStyle w:val="Heading3"/>
      </w:pPr>
      <w:r>
        <w:t xml:space="preserve">1.5.3 Phạm vi thời gian</w:t>
      </w:r>
    </w:p>
    <w:p>
      <w:pPr>
        <w:pStyle w:val="FirstParagraph"/>
      </w:pPr>
      <w:r>
        <w:t xml:space="preserve">Phạm vi thời gian của nghiên cứu có hai mức. Đối với giai đoạn phân tích tổng hợp, luận án tổng hợp tài liệu trong giai đoạn 1977–2026, bao quát toàn bộ chương trình nghiên cứu về quan hệ quốc tế hóa và hiệu quả từ khi các nghiên cứu thực nghiệm đầu tiên xuất hiện đến thời điểm hoàn thành luận án. Đối với giai đoạn phân tích thực nghiệm đa quốc gia, luận án sử dụng dữ liệu WBES trong giai đoạn 2006–2026, bao gồm 87.987 doanh nghiệp với 99 cặp nền kinh tế-năm. Dữ liệu WBES từ ba thế hệ lược đồ (PICS3 giai đoạn 2009–2012, Standardized giai đoạn 2013–2017, và BREADY/BEE giai đoạn 2018–2025) đã được hòa hợp để đảm bảo tính nhất quán trong đo lường biến qua các đợt khảo sát.</w:t>
      </w:r>
    </w:p>
    <w:p>
      <w:r>
        <w:pict>
          <v:rect style="width:0;height:1.5pt" o:hralign="center" o:hrstd="t" o:hr="t"/>
        </w:pict>
      </w:r>
    </w:p>
    <w:bookmarkEnd w:id="29"/>
    <w:bookmarkStart w:id="30" w:name="giới-hạn-phạm-vi"/>
    <w:p>
      <w:pPr>
        <w:pStyle w:val="Heading3"/>
      </w:pPr>
      <w:r>
        <w:t xml:space="preserve">1.5.4 Giới hạn phạm vi</w:t>
      </w:r>
    </w:p>
    <w:p>
      <w:pPr>
        <w:pStyle w:val="FirstParagraph"/>
      </w:pPr>
      <w:r>
        <w:t xml:space="preserve">Để bảo đảm tính khả thi và độ chặt chẽ, luận án xác định rõ một số giới hạn phạm vi có chủ đích. Thứ nhất, đơn vị phân tích là doanh nghiệp ở cấp độ tổ chức, do đó luận án không nhằm giải thích kết quả ở cấp ngành hay cấp quốc gia, mặc dù bối cảnh ngành và quốc gia được đưa vào như biến điều tiết và biến kiểm soát. Thứ hai, quốc tế hóa được vận hành hóa chủ yếu qua tỷ lệ doanh thu nước ngoài trên tổng doanh thu, phù hợp với cấu trúc dữ liệu khảo sát; các phương thức quốc tế hóa khác như đầu tư trực tiếp ra nước ngoài hay liên doanh không nằm trong trọng tâm đo lường, dù được thừa nhận về mặt khái niệm.</w:t>
      </w:r>
    </w:p>
    <w:p>
      <w:pPr>
        <w:pStyle w:val="BodyText"/>
      </w:pPr>
      <w:r>
        <w:t xml:space="preserve">Thứ ba, dữ liệu thực nghiệm là chuỗi cắt ngang lặp lại theo từng đợt khảo sát, không phải dữ liệu bảng theo dõi cùng một doanh nghiệp qua thời gian, nên các suy luận về động thái theo thời gian được giới hạn ở so sánh giữa các đợt khảo sát thay vì theo dõi quỹ đạo của từng doanh nghiệp. Thứ tư, do ràng buộc của bộ dữ liệu, chỉ số chấp nhận số được đo bằng các chỉ báo nền tảng ở giao diện ngoại tại; đây là ràng buộc đo lường có chủ đích chứ không phải thiếu sót khái niệm, và được xử lý nhất quán trong toàn bộ luận án. Cuối cùng, phạm vi không gian giới hạn ở khu vực châu Á và lân cận; việc khái quát hóa các phát hiện sang các khu vực khác cần được kiểm chứng thêm và được nêu như một hướng nghiên cứu tiếp theo trong Chương 5.</w:t>
      </w:r>
    </w:p>
    <w:bookmarkEnd w:id="30"/>
    <w:bookmarkEnd w:id="31"/>
    <w:bookmarkStart w:id="32"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hỗn hợp tổng hợp–thực nghiệm, sự kết hợp giữa phân tích tổng hợp và phân tích thực nghiệm đa quốc gia, nhằm trả lời bốn câu hỏi nghiên cứu đã đặt ra. Thiết kế này không chỉ đơn thuần là sử dụng hai phương pháp song song, mà tạo ra một đối thoại hai chiều: phân tích tổng hợp cung cấp tổng quan có hệ thống về trạng thái bằng chứng và xác định các biến điều tiết quan trọng trong tài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giai đoạn phân tích tổng hợp sử dụng mô hình hiệu ứng ngẫu nhiên với phép biến đổi</w:t>
      </w:r>
      <w:r>
        <w:t xml:space="preserve"> </w:t>
      </w:r>
      <m:oMath>
        <m:r>
          <m:t>z</m:t>
        </m:r>
      </m:oMath>
      <w:r>
        <w:t xml:space="preserve"> </w:t>
      </w:r>
      <w:r>
        <w:t xml:space="preserve">của Fisher, phân tích nhóm con theo chế độ thể chế, và các kiểm định lệch lạc công bố bao gồm kiểm định Egger và kiểm định tương quan hạng Begg–Mazumdar. Giai đoạn thực nghiệm sử dụng hồi quy bình phương nhỏ nhất với sai số chuẩn vững HC1 và HC3, mô hình bậc hai để kiểm định quan hệ phi tuyến dạng chữ U ngược, tương tác hai chiều và ba chiều để kiểm định điều tiết, cùng với hiệu ứng cố định theo quốc gia và năm. Kiểm định chữ U của Lind và Mehlum được áp dụng để xác nhận dạng chữ U ngược và xác định điểm uốn trong quan hệ phi tuyến (Haans et al., 2016; Lind &amp; Mehlum, 2010).</w:t>
      </w:r>
    </w:p>
    <w:p>
      <w:r>
        <w:pict>
          <v:rect style="width:0;height:1.5pt" o:hralign="center" o:hrstd="t" o:hr="t"/>
        </w:pict>
      </w:r>
    </w:p>
    <w:bookmarkEnd w:id="32"/>
    <w:bookmarkStart w:id="33" w:name="giả-thuyết-khoa-học-tóm-tắt"/>
    <w:p>
      <w:pPr>
        <w:pStyle w:val="Heading2"/>
      </w:pPr>
      <w:r>
        <w:t xml:space="preserve">1.7 Giả thuyết khoa học (tóm tắt)</w:t>
      </w:r>
    </w:p>
    <w:p>
      <w:pPr>
        <w:pStyle w:val="FirstParagraph"/>
      </w:pPr>
      <w:r>
        <w:t xml:space="preserve">Dựa trên khung lý thuyết tích hợp đa tầng bao gồm mô hình Uppsala, lý thuyết dựa trên nguồn lực, lý thuyết thể chế, Lý thuyết thượng tầng quản trị và lăng kính năng lực số,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năng lực công nghệ index (TCI) điều tiết dương quan hệ quốc tế hóa và hiệu quả bằng cách mở rộng biên thích nghi và tăng cường khả năng khai thác lợi thế cạnh tranh ở thị trường quốc tế. Chỉ số chấp nhận số (DAI), được hiểu là biến đại diện foundational chấp nhận số,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chế độ con ICRV, điều tiết cả dạng và độ lớn của quan hệ quốc tế hóa và hiệu quả, tạo ra gradient từ tác động dương lớn ở tiên tiến đổi mới đến tác động âm ở đang nổi và SIDS extreme. Đặc điểm nhà quản trị cấp cao, cụ thể là kinh nghiệm quốc tế và đa dạng giới tính, điều tiết dương quan hệ quốc tế hóa và hiệu quả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dạng chữ U ngược</w:t>
      </w:r>
      <w:r>
        <w:t xml:space="preserve"> </w:t>
      </w:r>
      <w:r>
        <w:rPr>
          <w:bCs/>
          <w:b/>
        </w:rPr>
        <w:t xml:space="preserve">tan rã</w:t>
      </w:r>
      <w:r>
        <w:t xml:space="preserve"> </w:t>
      </w:r>
      <w:r>
        <w:t xml:space="preserve">(mất cả độ cong lẫn độ dốc có ý nghĩa), với quan hệ nghiêng về một dạng</w:t>
      </w:r>
      <w:r>
        <w:t xml:space="preserve"> </w:t>
      </w:r>
      <w:r>
        <w:rPr>
          <w:bCs/>
          <w:b/>
        </w:rPr>
        <w:t xml:space="preserve">âm đơn điệu</w:t>
      </w:r>
      <w:r>
        <w:t xml:space="preserve"> </w:t>
      </w:r>
      <w:r>
        <w:t xml:space="preserve">như trường hợp giới hạn lý thuyết,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33"/>
    <w:bookmarkStart w:id="37" w:name="ý-nghĩa-khoa-học-và-thực-tiễn"/>
    <w:p>
      <w:pPr>
        <w:pStyle w:val="Heading2"/>
      </w:pPr>
      <w:r>
        <w:t xml:space="preserve">1.8 Ý nghĩa khoa học và thực tiễn</w:t>
      </w:r>
    </w:p>
    <w:bookmarkStart w:id="34" w:name="đóng-góp-lý-thuyết"/>
    <w:p>
      <w:pPr>
        <w:pStyle w:val="Heading3"/>
      </w:pPr>
      <w:r>
        <w:t xml:space="preserve">1.8.1 Đóng góp lý thuyết</w:t>
      </w:r>
    </w:p>
    <w:p>
      <w:pPr>
        <w:pStyle w:val="FirstParagraph"/>
      </w:pPr>
      <w:r>
        <w:t xml:space="preserve">Về mặt lý thuyết, luận án đóng góp vào tài liệu kinh doanh quốc tế theo ba hướng chính. Hướng thứ nhất là tích hợp bốn lý thuyết kinh điển, mô hình Uppsala, lý thuyết dựa trên nguồn lực, lý thuyết thể chế và Lý thuyết thượng tầng quản trị, vào một khung giải thích đa tầng thống nhất, bổ sung bởi lăng kính năng lực số để phản ánh chuyển đổi số đương đại. Khung này không chỉ là sự ghép nối cơ học các lý thuyết mà là một kiến trúc lý thuyết có tính nhất quán nội tại, trong đó mỗi tầng giải thích một loại dị biệt khác nhau trong quan hệ quốc tế hóa và hiệu quả. Hướng thứ hai là phân tách rõ ràng năng lực công nghệ (TCI) và chỉ số chấp nhận số (DAI) như hai cấu trúc lý thuyết độc lập, dựa trên các nền tảng khái niệm khác nhau từ Bharadwaj et al. (2013), Verhoef et al. (2021), và Coltman et al. (2008). Sự phân tách này bổ sung vào thiếu hụt khái niệm quan trọng trong tài liệu về số hóa và quốc tế hóa. Hướng thứ ba là tái định vị mô hình Uppsala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quốc tế hóa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cấu trúc lý thuyết mới chưa được định danh trong tài liệu kinh doanh quốc tế, như điều kiện biên cực đoan của mô hình chữ U ngược khi cả ba tầng của khung CDCM (thể chế, năng lực, quản trị) đồng thời ở mức tối thiểu. Bằng chứng thực nghiệm thăm dò từ các nền kinh tế đảo nhỏ Thái Bình Dương gợi ý quan hệ âm đơn điệu không có điểm uốn, với giới hạn dữ liệu được nêu rõ ở Mục 4.7.8, mở ra hướng nghiên cứu mới về điều kiện biên của lý thuyết quốc tế hóa.</w:t>
      </w:r>
    </w:p>
    <w:p>
      <w:pPr>
        <w:pStyle w:val="BodyText"/>
      </w:pPr>
      <w:r>
        <w:t xml:space="preserve">Bốn hướng đóng góp lý thuyết trên hội tụ vào một kiến trúc thống nhất là khung điều tiết bối cảnh, năng lực và quản trị (Country–Digital–Capability Moderation, CDCM), trong đó mỗi tầng giải thích một loại dị biệt riêng của quan hệ quốc tế hóa và hiệu quả thay vì cạnh tranh loại trừ lẫn nhau. Tầng vĩ mô được vận hành hóa bằng khung biến thiên chế độ bối cảnh thể chế (Institutional Context Regime Variation, ICRV), công cụ phân loại sáu nhóm cho phép chuyển một gradient thể chế liên tục thành một biến điều tiết kiểm định được ở cấp doanh nghiệp. Đóng góp của ICRV không nằm ở việc thêm một biến phân loại, mà ở việc cung cấp một cách hệ thống để dự đoán vị trí điểm uốn dịch chuyển theo chế độ thể chế, qua đó biến luận điểm</w:t>
      </w:r>
      <w:r>
        <w:t xml:space="preserve"> </w:t>
      </w:r>
      <w:r>
        <w:t xml:space="preserve">“</w:t>
      </w:r>
      <w:r>
        <w:t xml:space="preserve">bối cảnh quan trọng</w:t>
      </w:r>
      <w:r>
        <w:t xml:space="preserve">”</w:t>
      </w:r>
      <w:r>
        <w:t xml:space="preserve"> </w:t>
      </w:r>
      <w:r>
        <w:t xml:space="preserve">từ một nhận định định tính thành một giả thuyết định lượng có thể bác bỏ.</w:t>
      </w:r>
    </w:p>
    <w:p>
      <w:pPr>
        <w:pStyle w:val="BodyText"/>
      </w:pPr>
      <w:r>
        <w:t xml:space="preserve">Đỉnh của kiến trúc lý thuyết là việc định danh gánh nặng quốc tế hóa bắt buộc (Forced Internationalization Penalty, FIP) như một điều kiện biên cực trị của mô hình chữ U ngược. FIP phát biểu rằng khi cả ba tầng của khung CDCM đồng thời ở mức tối thiểu, quan hệ quốc tế hóa và hiệu quả không chỉ mất phần lợi ích giai đoạn đầu mà chuyển hẳn sang dạng âm đơn điệu không có điểm uốn. Việc định danh một điều kiện biên như vậy có giá trị lý thuyết vượt ra ngoài một phát hiện thực nghiệm đơn lẻ, bởi nó xác định ranh giới ứng dụng của cả một họ lý thuyết quốc tế hóa vốn ngầm giả định những điều kiện cấu trúc tối thiểu luôn được thỏa mãn.</w:t>
      </w:r>
    </w:p>
    <w:bookmarkEnd w:id="34"/>
    <w:bookmarkStart w:id="35"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hỗn hợp tổng hợp–thực nghiệm kết hợp phân tích tổng hợp và phân tích đa quốc gia, tạo ra khả năng đối chiếu giữa bằng chứng tổng hợp từ tài liệu toàn cầu và bằng chứng thực nghiệm từ bối cảnh châu Á. Hướng thứ hai là phát triển và áp dụng khung phân loại thể chế ICRV cho 49 nền kinh tế, cung cấp một công cụ phân loại mới có ứng dụng tiềm năng trong nhiều nghiên cứu tương lai về moderating effect của thể chế trong tài liệu kinh doanh quốc tế.</w:t>
      </w:r>
    </w:p>
    <w:bookmarkEnd w:id="35"/>
    <w:bookmarkStart w:id="36"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chấp nhận số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hiệu ứng lá chắn số</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49 nền kinh tế châu Á và Thái Bình Dương.</w:t>
      </w:r>
    </w:p>
    <w:p>
      <w:r>
        <w:pict>
          <v:rect style="width:0;height:1.5pt" o:hralign="center" o:hrstd="t" o:hr="t"/>
        </w:pict>
      </w:r>
    </w:p>
    <w:p>
      <w:pPr>
        <w:pStyle w:val="FirstParagraph"/>
      </w:pPr>
      <w:r>
        <w:t xml:space="preserve">Hàm ý chính sách của luận án mang tính phân biệt theo chế độ thể chế thay vì đưa ra một khuyến nghị đồng nhất cho toàn khu vực. Ở các nền kinh tế thuộc nhóm thể chế mạnh, nơi quan hệ quốc tế hóa và hiệu quả duy trì độ dốc dương trong phần lớn miền quan sát, chính sách hỗ trợ nên tập trung vào việc gỡ bỏ các trần mở rộng và nâng trần năng lực hấp thụ công nghệ. Ở các nền kinh tế chuyển đổi thu nhập trung bình–thấp, nơi đường cong chữ U ngược biểu hiện rõ nét nhất, hàm ý trọng tâm là nhận diện ngưỡng tối ưu và tránh mở rộng vượt ngưỡng khi năng lực điều phối chưa theo kịp.</w:t>
      </w:r>
    </w:p>
    <w:p>
      <w:pPr>
        <w:pStyle w:val="BodyText"/>
      </w:pPr>
      <w:r>
        <w:t xml:space="preserve">Ở cực còn lại của gradient, các nền kinh tế đảo nhỏ đang phát triển đòi hỏi một logic chính sách khác hẳn. Khi quốc tế hóa là gánh nặng sinh tồn chứ không phải lựa chọn chiến lược dựa trên lợi thế cạnh tranh, việc khuyến khích tăng cường độ xuất khẩu một cách máy móc có thể phản tác dụng; ưu tiên hợp lý hơn là khắc phục các ràng buộc cấu trúc về chi phí thương mại và hỗ trợ thể chế trước khi kỳ vọng quốc tế hóa cải thiện hiệu quả. Sự phân biệt này cho thấy giá trị thực tiễn cốt lõi của luận án nằm ở việc cung cấp một bản đồ chính sách theo chế độ thể chế, thay vì một đơn thuốc duy nhất áp dụng cho mọi nền kinh tế bất kể vị trí trên gradient.</w:t>
      </w:r>
    </w:p>
    <w:bookmarkEnd w:id="36"/>
    <w:bookmarkEnd w:id="37"/>
    <w:bookmarkStart w:id="38"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quốc tế hóa và hiệu quả trong bối cảnh châu Á, kết hợp bốn lý thuyết kinh điển với lăng kính năng lực số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cấu trúc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cấu trúc có bản chất khác nhau. Điểm mới thứ ba là phát triển và áp dụng khung phân loại thể chế ICRV với 6 chế độ con cho 49 nền kinh tế, bao gồm cả 7 nền kinh tế đảo nhỏ Thái Bình Dương liền kề như boundary case cực đoan, đây là lần đầu tiên một hệ thống phân loại đủ mịn như vậy được áp dụng trong nghiên cứu thực nghiệm về quan hệ quốc tế hóa và hiệu quả tại châu Á. Điểm mới thứ tư là mẫu gộp dữ liệu lớn nhất từ trước đến nay cho nghiên cứu đa quốc gia về quan hệ quốc tế hóa và hiệu quả tại châu Á, với 87.987 doanh nghiệp từ 49 nền kinh tế châu Á và Thái Bình Dương, mở rộng đáng kể từ mẫu gộp 17 nước (nghiên cứu thành phần P1) là nền tảng hiện có lớn nhất trước khi luận án hoàn thành. Điểm mới thứ năm là kiểm định temporal stability của điểm uốn trong quan hệ quốc tế hóa và hiệu quả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quốc tế hóa và hiệu quả phi tuyến ở Trung Quốc dù bối cảnh kinh tế có nhiều thay đổi. Điểm mới thứ sáu là đề xuất và đặt tên cho khái niệm</w:t>
      </w:r>
      <w:r>
        <w:t xml:space="preserve"> </w:t>
      </w:r>
      <w:r>
        <w:rPr>
          <w:bCs/>
          <w:b/>
        </w:rPr>
        <w:t xml:space="preserve">gánh nặng quốc tế hóa bắt buộc (Forced Internationalization Penalty, FIP)</w:t>
      </w:r>
      <w:r>
        <w:t xml:space="preserve"> </w:t>
      </w:r>
      <w:r>
        <w:t xml:space="preserve">cho bối cảnh các nền kinh tế đảo nhỏ Thái Bình Dương, lần đầu tiên trong tài liệu kinh doanh quốc tế: một điều kiện biên lý thuyết của mô hình chữ U ngược, trong đó quan hệ quốc tế hóa và hiệu quả có thể chuyển sang âm đơn điệu khi ba điều kiện cấu trúc bị vi phạm đồng thời. Đóng góp này chủ yếu mang tính khái niệm; bằng chứng thực nghiệm đi kèm (nghiên cứu thành phần P8) mang tính thăm dò và nhạy cảm với phiên bản dữ liệu cũng như số nền đảo nhỏ có dữ liệu doanh nghiệp đầy đủ (xem Mục 4.7.8), mở ra hướng nghiên cứu mới về điều kiện biên của các lý thuyết quốc tế hóa phổ quát.</w:t>
      </w:r>
    </w:p>
    <w:p>
      <w:r>
        <w:pict>
          <v:rect style="width:0;height:1.5pt" o:hralign="center" o:hrstd="t" o:hr="t"/>
        </w:pict>
      </w:r>
    </w:p>
    <w:p>
      <w:pPr>
        <w:pStyle w:val="FirstParagraph"/>
      </w:pPr>
      <w:r>
        <w:t xml:space="preserve">Sáu điểm mới trên có thể được cô đọng thành một tuyên bố tính mới trung tâm: luận án là công trình đầu tiên trong tài liệu kinh doanh quốc tế chuyển luận điểm</w:t>
      </w:r>
      <w:r>
        <w:t xml:space="preserve"> </w:t>
      </w:r>
      <w:r>
        <w:t xml:space="preserve">“</w:t>
      </w:r>
      <w:r>
        <w:t xml:space="preserve">quan hệ quốc tế hóa và hiệu quả phụ thuộc bối cảnh</w:t>
      </w:r>
      <w:r>
        <w:t xml:space="preserve">”</w:t>
      </w:r>
      <w:r>
        <w:t xml:space="preserve"> </w:t>
      </w:r>
      <w:r>
        <w:t xml:space="preserve">từ một nhận định định tính thành một cấu trúc kiểm định được trên toàn bộ gradient thể chế của một khu vực, đồng thời xác định và định danh điểm mà tại đó dạng hàm chữ U ngược không còn ứng dụng được. Khác với các nghiên cứu trước thường dừng lại ở việc chứng minh thể chế điều tiết độ lớn của hiệu ứng, luận án chứng minh thể chế có thể điều tiết cả dấu của hiệu ứng, qua đó nâng luận điểm từ</w:t>
      </w:r>
      <w:r>
        <w:t xml:space="preserve"> </w:t>
      </w:r>
      <w:r>
        <w:t xml:space="preserve">“</w:t>
      </w:r>
      <w:r>
        <w:t xml:space="preserve">phụ thuộc bối cảnh</w:t>
      </w:r>
      <w:r>
        <w:t xml:space="preserve">”</w:t>
      </w:r>
      <w:r>
        <w:t xml:space="preserve"> </w:t>
      </w:r>
      <w:r>
        <w:t xml:space="preserve">lên</w:t>
      </w:r>
      <w:r>
        <w:t xml:space="preserve"> </w:t>
      </w:r>
      <w:r>
        <w:t xml:space="preserve">“</w:t>
      </w:r>
      <w:r>
        <w:t xml:space="preserve">có điều kiện theo bối cảnh</w:t>
      </w:r>
      <w:r>
        <w:t xml:space="preserve">”</w:t>
      </w:r>
      <w:r>
        <w:t xml:space="preserve">. Tính mới này được nâng đỡ bởi sự phân tách hai cấu trúc năng lực số và bởi nền dữ liệu đa quốc gia rộng nhất từng có cho khu vực, hai yếu tố cùng bảo đảm rằng tuyên bố trên dựa trên độ thuần khiết cấu trúc và độ bao phủ thể chế chứ không phải trên một mẫu hẹp hoặc một đo lường gộp.</w:t>
      </w:r>
    </w:p>
    <w:bookmarkEnd w:id="38"/>
    <w:bookmarkStart w:id="39"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phân tích tổng hợp cập nhật 1977–2026, phân tích theo bối cảnh quốc gia cụ thể, và phân tích đa quốc gia tổng hợp trên mẫu gộp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Lộ trình tám nghiên cứu thành phần (P3–P10):</w:t>
      </w:r>
      <w:r>
        <w:t xml:space="preserve"> </w:t>
      </w:r>
      <w:r>
        <w:t xml:space="preserve">Luận án tích hợp tám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yếu tố nâng mặt bằng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Mục 4.3), DAI Tầng 1 và 2 khuếch đại đường cong quốc tế hóa và hiệu quả.</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(49 nền kinh tế, mục tiêu JIBS): N = 80.373 quan sát, điểm uốn gộp 43,5%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điều kiện biên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w:t>
      </w:r>
      <w:r>
        <w:t xml:space="preserve">trên phiên bản dữ liệu gốc), gợi ý H1b ở các nền kinh tế đảo nhỏ Thái Bình Dương; bằng chứng mang tính thăm dò, đọc cùng giới hạn dữ liệu ở Mục 4.7.8.</w:t>
      </w:r>
      <w:r>
        <w:t xml:space="preserve"> </w:t>
      </w:r>
      <w:r>
        <w:rPr>
          <w:bCs/>
          <w:b/>
        </w:rPr>
        <w:t xml:space="preserve">P9</w:t>
      </w:r>
      <w:r>
        <w:t xml:space="preserve"> </w:t>
      </w:r>
      <w:r>
        <w:t xml:space="preserve">(Ấn Độ, MIR/IJOEM, đang bình duyệt): độ bền ngưỡng quốc tế hóa và hiệu quả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Tầng 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quốc tế hóa và hiệu quả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năng lực công nghệ index; DAI là chỉ số chấp nhận số (digital adoption index), được hiểu như biến đại diện foundational chấp nhận số; ICRV là khung phân loại thể chế 6 nhóm được phát triển cho luận án này; WBES là World Bank Enterprise Surveys.</w:t>
      </w:r>
    </w:p>
    <w:bookmarkEnd w:id="3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2026-06-19T16:24:53Z</dcterms:created>
  <dcterms:modified xsi:type="dcterms:W3CDTF">2026-06-19T16:24:53Z</dcterms:modified>
</cp:coreProperties>
</file>

<file path=docProps/custom.xml><?xml version="1.0" encoding="utf-8"?>
<Properties xmlns="http://schemas.openxmlformats.org/officeDocument/2006/custom-properties" xmlns:vt="http://schemas.openxmlformats.org/officeDocument/2006/docPropsVTypes"/>
</file>