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dc33a1e36e2f3be83736669663a61a68c91d087"/>
    <w:p>
      <w:pPr>
        <w:pStyle w:val="Heading3"/>
      </w:pPr>
      <w:r>
        <w:t xml:space="preserve">4.1.1 Bức tranh tổng thể về hiệu quả doanh nghiệp châu Á</w:t>
      </w:r>
    </w:p>
    <w:p>
      <w:pPr>
        <w:pStyle w:val="FirstParagraph"/>
      </w:pPr>
      <w:r>
        <w:t xml:space="preserve">Phân tích mô tả trên khung 49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87.987 / 49 nền, gồm Nhật Bản; mẫu hồi quy chính P7 M2 N = 80.373), nhất quán với thống kê mô tả chi tiết của Chuyên đề 1 trên đầy đủ 49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87.987/49 nền; mẫu hồi quy chính P7 M2 N = 80.373).</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80.373 (mô hình M2, khung 49 nền gồm Nhật Bản) và giảm còn 78.445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7/7 nền Nhóm VI, SIDS có</w:t>
      </w:r>
      <w:r>
        <w:t xml:space="preserve"> </w:t>
      </w:r>
      <w:r>
        <w:rPr>
          <w:bCs/>
          <w:b/>
        </w:rPr>
        <w:t xml:space="preserve">tỷ lệ đổi mới sản phẩm rất cao (38,0%)</w:t>
      </w:r>
      <w:r>
        <w:t xml:space="preserve"> </w:t>
      </w:r>
      <w:r>
        <w:t xml:space="preserve">và đổi mới quy trình đáng kể (21,5%), trong khi website (48,8%) cao hơn cả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11,5%, ISO 15,8%) thuộc nhóm thấp nhất, và đây là nhóm duy nhất nơi dạng chữ U ngược tan rã hoàn toàn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49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49 nền bao gồm Nhật Bản</w:t>
      </w:r>
      <w:r>
        <w:t xml:space="preserve"> </w:t>
      </w:r>
      <w:r>
        <w:t xml:space="preserve">(2.168 doanh nghiệp Nhật trong khung phân tích 87.987; mẫu hồi quy chính M2 N = 80.373, M5 N = 78.445;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a7d4e14564d57b0a9bb7f3939becc5ff181d680"/>
    <w:p>
      <w:pPr>
        <w:pStyle w:val="Heading3"/>
      </w:pPr>
      <w:r>
        <w:t xml:space="preserve">4.1.6 So sánh xuyên nhóm ICRV: gradient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gradient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Gradient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Gradient năng lực công nghệ theo sáu nhóm ICRV</w:t>
      </w:r>
    </w:p>
    <w:p>
      <w:pPr>
        <w:pStyle w:val="BodyText"/>
      </w:pPr>
      <w:r>
        <w:t xml:space="preserve">Ngược với gradient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gradient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gradient mức hợp lệ giữa các nền kinh tế, nhất quán với lý thuyết thể chế theo đó thể chế mạnh kéo theo chi phí giao dịch thấp và biên lợi nhuận cao hơn. Cần lưu ý rằng gradient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gradient thể chế, từ 61,7% ở Nhóm I xuống 41,2% ở Nhóm V, phù hợp với khoảng cách hạ tầng số. Đáng chú ý nhất, tỷ lệ nữ trong quản trị cấp cao không theo gradient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gradient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gradient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gradient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gradient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49 nền kinh tế</w:t>
      </w:r>
      <w:r>
        <w:t xml:space="preserve"> </w:t>
      </w:r>
      <w:r>
        <w:t xml:space="preserve">(gồm Nhật Bản đợt khảo sát đầu tiên năm 2025; loại Timor-Leste vì không thuộc nhóm quốc đảo Thái Bình Dương theo phân loại của Ngân hàng Thế giới và Liên Hợp Quốc), 99 cặp nền kinh tế và năm, với</w:t>
      </w:r>
      <w:r>
        <w:t xml:space="preserve"> </w:t>
      </w:r>
      <m:oMath>
        <m:r>
          <m:t>N</m:t>
        </m:r>
        <m:r>
          <m:rPr>
            <m:sty m:val="p"/>
          </m:rPr>
          <m:t>=</m:t>
        </m:r>
        <m:r>
          <m:t>80.373</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78.445</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49 nền kinh tế (loại Timor-Leste theo phân loại WB/UN):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80.373</w:t>
            </w:r>
          </w:p>
        </w:tc>
        <w:tc>
          <w:tcPr/>
          <w:p>
            <w:pPr>
              <w:pStyle w:val="Compact"/>
              <w:jc w:val="left"/>
            </w:pPr>
            <w:r>
              <w:t xml:space="preserve">+1,194 (&lt;,001)</w:t>
            </w:r>
          </w:p>
        </w:tc>
        <w:tc>
          <w:tcPr/>
          <w:p>
            <w:pPr>
              <w:pStyle w:val="Compact"/>
              <w:jc w:val="left"/>
            </w:pPr>
            <w:r>
              <w:t xml:space="preserve">−1,404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78.445</w:t>
            </w:r>
          </w:p>
        </w:tc>
        <w:tc>
          <w:tcPr/>
          <w:p>
            <w:pPr>
              <w:pStyle w:val="Compact"/>
              <w:jc w:val="left"/>
            </w:pPr>
            <w:r>
              <w:rPr>
                <w:bCs/>
                <w:b/>
              </w:rPr>
              <w:t xml:space="preserve">+0,503 (&lt;,001)</w:t>
            </w:r>
          </w:p>
        </w:tc>
        <w:tc>
          <w:tcPr/>
          <w:p>
            <w:pPr>
              <w:pStyle w:val="Compact"/>
              <w:jc w:val="left"/>
            </w:pPr>
            <w:r>
              <w:rPr>
                <w:bCs/>
                <w:b/>
              </w:rPr>
              <w:t xml:space="preserve">−0,727 (&lt;,001)</w:t>
            </w:r>
          </w:p>
        </w:tc>
        <w:tc>
          <w:tcPr/>
          <w:p>
            <w:pPr>
              <w:pStyle w:val="Compact"/>
              <w:jc w:val="right"/>
            </w:pPr>
            <w:r>
              <w:rPr>
                <w:bCs/>
                <w:b/>
              </w:rPr>
              <w:t xml:space="preserve">43,5%</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78.445</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78.445</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78.445</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49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49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49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49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49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43,5%,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gradient trơn.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gradient trơn mà như ba vùng rời rạc. Ở giữa gradient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tan rã và đảo dấu ở nhóm SIDS thành hình phạt quốc tế hóa cưỡng bức. Cách đọc ba vùng này dung hòa các kết quả đơn quốc gia tưởng như mâu thuẫn của luận án trong một khung ước lượng hài hòa trên 49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49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gradient,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49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gradient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sự tan rã của dạng chữ U ngược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Sự tan rã của chữ U ngược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sự tan rã của chữ U ngược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tan rã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tan rã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tan rã.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49 nền (Mục 4.6.2), hoàn tất bức tranh ba vùng của gradient thể chế: chữ U ngược ở các chế độ chuyển đổi, gần tuyến tính ở biên trên, tan rã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49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(49 nền, I–VI)</w:t>
            </w:r>
          </w:p>
        </w:tc>
        <w:tc>
          <w:tcPr/>
          <w:p>
            <w:pPr>
              <w:pStyle w:val="Compact"/>
              <w:jc w:val="right"/>
            </w:pPr>
            <w:r>
              <w:t xml:space="preserve">80.373</w:t>
            </w:r>
          </w:p>
        </w:tc>
        <w:tc>
          <w:tcPr/>
          <w:p>
            <w:pPr>
              <w:pStyle w:val="Compact"/>
              <w:jc w:val="left"/>
            </w:pPr>
            <w:r>
              <w:t xml:space="preserve">U ngược</w:t>
            </w:r>
          </w:p>
        </w:tc>
        <w:tc>
          <w:tcPr/>
          <w:p>
            <w:pPr>
              <w:pStyle w:val="Compact"/>
              <w:jc w:val="left"/>
            </w:pPr>
            <w:r>
              <w:t xml:space="preserve">43,5%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tan rã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43,5% ở mô hình đầy đủ M5 trên khung 49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sự tan rã của chữ U ngược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49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49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49 nền (nữ quản lý: mức −0,104, p&lt;,001;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tan rã tại SIDS; FIP là trường hợp giới hạn</w:t>
            </w:r>
          </w:p>
        </w:tc>
        <w:tc>
          <w:tcPr/>
          <w:p>
            <w:pPr>
              <w:pStyle w:val="Compact"/>
              <w:jc w:val="left"/>
            </w:pPr>
            <w:r>
              <w:t xml:space="preserve">Ủng hộ theo hướng tan rã: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2026-06-19T16:24:54Z</dcterms:created>
  <dcterms:modified xsi:type="dcterms:W3CDTF">2026-06-19T16:24:54Z</dcterms:modified>
</cp:coreProperties>
</file>

<file path=docProps/custom.xml><?xml version="1.0" encoding="utf-8"?>
<Properties xmlns="http://schemas.openxmlformats.org/officeDocument/2006/custom-properties" xmlns:vt="http://schemas.openxmlformats.org/officeDocument/2006/docPropsVTypes"/>
</file>