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49.png" ContentType="image/png"/>
  <Override PartName="/word/media/rId146.png" ContentType="image/png"/>
  <Override PartName="/word/media/rId166.png" ContentType="image/png"/>
  <Override PartName="/word/media/rId153.png" ContentType="image/png"/>
  <Override PartName="/word/media/rId157.png" ContentType="image/png"/>
  <Override PartName="/word/media/rId229.png" ContentType="image/png"/>
  <Override PartName="/word/media/rId169.png" ContentType="image/png"/>
  <Override PartName="/word/media/rId217.png" ContentType="image/png"/>
  <Override PartName="/word/media/rId1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tám nền là sự</w:t>
      </w:r>
      <w:r>
        <w:t xml:space="preserve"> </w:t>
      </w:r>
      <w:r>
        <w:rPr>
          <w:bCs/>
          <w:b/>
        </w:rPr>
        <w:t xml:space="preserve">tan rã của dạng chữ U ngược</w:t>
      </w:r>
      <w:r>
        <w:t xml:space="preserve"> </w:t>
      </w:r>
      <w:r>
        <w:t xml:space="preserve">(cả độ cong lẫn độ dốc đều không có ý nghĩa thống kê),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mục trình bày, giả thuyết (Chương 2, Mục 2.5)</w:t>
      </w:r>
      <w:r>
        <w:t xml:space="preserve"> </w:t>
      </w:r>
      <w:r>
        <w:t xml:space="preserve">- Bảng 2.2. Tổng hợp hệ giả thuyết: phát biểu, dấu kỳ vọng, cơ sở lý thuyết và biến kiểm định (Chương 2, Mục 2.5.8)</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Gradient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gradient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c1dcee8f5373723512b0db114b71fe5e38a510a"/>
    <w:p>
      <w:pPr>
        <w:pStyle w:val="Heading3"/>
      </w:pPr>
      <w:r>
        <w:t xml:space="preserve">1.1.1 Bối cảnh đương đại: thách thức việc làm, gradient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doanh nghiệp gắn trực tiếp với năng lực hấp thụ lực lượng lao động trẻ đang gia tăng nhanh trong khu vực.</w:t>
      </w:r>
    </w:p>
    <w:p>
      <w:pPr>
        <w:pStyle w:val="BodyText"/>
      </w:pPr>
      <w:r>
        <w:t xml:space="preserve">Gradient thể chế (institutional gradient)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tài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năng lực công nghệ index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tài nguyên-Driven,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năng lực công nghệ index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foundational chấp nhận số,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gradient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w:t>
      </w:r>
      <w:r>
        <w:t xml:space="preserve"> </w:t>
      </w:r>
      <w:r>
        <w:rPr>
          <w:bCs/>
          <w:b/>
        </w:rPr>
        <w:t xml:space="preserve">tan rã</w:t>
      </w:r>
      <w:r>
        <w:t xml:space="preserve"> </w:t>
      </w:r>
      <w:r>
        <w:t xml:space="preserve">(mất cả độ cong lẫn độ dốc có ý nghĩa), với quan hệ nghiêng về một dạng</w:t>
      </w:r>
      <w:r>
        <w:t xml:space="preserve"> </w:t>
      </w:r>
      <w:r>
        <w:rPr>
          <w:bCs/>
          <w:b/>
        </w:rPr>
        <w:t xml:space="preserve">âm đơn điệu</w:t>
      </w:r>
      <w:r>
        <w:t xml:space="preserve"> </w:t>
      </w:r>
      <w:r>
        <w:t xml:space="preserve">như trường hợp giới hạn lý thuyết,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luận án đóng góp vào tài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quốc tế hóa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gradient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gradient,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gradient.</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boundary case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temporal stability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w:t>
      </w:r>
      <w:r>
        <w:t xml:space="preserve"> </w:t>
      </w:r>
      <w:r>
        <w:rPr>
          <w:bCs/>
          <w:b/>
        </w:rPr>
        <w:t xml:space="preserve">gánh nặng quốc tế hóa bắt buộc (Forced Internationalization Penalty, FIP)</w:t>
      </w:r>
      <w:r>
        <w:t xml:space="preserve"> </w:t>
      </w:r>
      <w:r>
        <w:t xml:space="preserve">cho bối cảnh các nền kinh tế đảo nhỏ Thái Bình Dương, lần đầu tiên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gradient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Tầng 1 và 2 khuếch đại đường cong quốc tế hóa và hiệu quả.</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gradient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Tầng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gradient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năng lực công nghệ index; DAI là chỉ số chấp nhận số (digital adoption index), được hiểu như biến đại diện foundational chấp nhận số;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Tầng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gradient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Tổng hợp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đặc tả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Đáng chú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Tổng hợp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các phân tích tổng hợp về quan hệ quốc tế hóa và hiệu quả, cho phép tổng hợp và định lượng hóa kết quả từ hàng trăm nghiên cứu thực nghiệm riêng lẻ. Tổng hợp từ các các phân tích tổng hợp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mẫu gộp lên 154 mẫu và tìm thấy tác động tổng hợp tương tự, đồng thời xác nhận vai trò của bối cảnh quốc gia và ngành. Marano et al. (2016), nghiên cứu phân tích tổng hợp toàn diện nhất trong tài liệu với 170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châu Á và Thái Bình Dương, ước lượng r̄ = 0,074 [KTC 95%: 0,060; 0,088], I² = 62,4%, Q_M(ICRV) = 17,35 (df = 4, p = ,002). Kết quả này xác nhận tác động tổng hợp dương nhỏ nhưng bền vững, đồng thời chứng minh rằng gradient ICRV, điểm uốn giảm dần khi chuyển từ thể chế yếu sang thể chế mạnh, là biến điều tiết thực chất của mối quan hệ quốc tế hóa và hiệu quả trong bối cảnh châu Á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Tổng hợp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đặc tả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bức tranh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gradient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bức tranh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gradient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institutional-khoảng trống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gradient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gradient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gradient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gradient ICRV từ nhóm tiên tiến đến nhóm đảo nhỏ, kiểm định đồng thời H1 đến H6 với hiệu ứng cố định nền kinh tế và năm. Điểm uốn hiệu chỉnh năng lực của P7 là 43,6% FSTS, nằm trong vùng chuyển đổi của gradient thể chế, nhất quán với P3 Việt Nam (khoảng 40%) và thấp hơn P5 Trung Quốc (khoảng 49%); cấu trúc ba vùng theo nhóm ICRV xác nhận thể chế điều tiết cả vị trí lẫn sự tồn tại của điểm uốn theo gradient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gradient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991039"/>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991039"/>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Lall (2004)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w:t>
      </w:r>
      <w:r>
        <w:t xml:space="preserve"> </w:t>
      </w:r>
      <w:r>
        <w:rPr>
          <w:bCs/>
          <w:b/>
        </w:rPr>
        <w:t xml:space="preserve">dịch chuyển</w:t>
      </w:r>
      <w:r>
        <w:t xml:space="preserve"> </w:t>
      </w:r>
      <w:r>
        <w:t xml:space="preserve">một cách có trật tự theo quá trình trưởng thành năng lực và thể chế, một khả năng đối lập về mặt lý thuyết là ngưỡng</w:t>
      </w:r>
      <w:r>
        <w:t xml:space="preserve"> </w:t>
      </w:r>
      <w:r>
        <w:rPr>
          <w:bCs/>
          <w:b/>
        </w:rPr>
        <w:t xml:space="preserve">tan biến</w:t>
      </w:r>
      <w:r>
        <w:t xml:space="preserve"> </w:t>
      </w:r>
      <w:r>
        <w:t xml:space="preserve">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w:t>
      </w:r>
      <w:r>
        <w:t xml:space="preserve"> </w:t>
      </w:r>
      <w:r>
        <w:rPr>
          <w:bCs/>
          <w:b/>
        </w:rPr>
        <w:t xml:space="preserve">tan biến theo thời gian</w:t>
      </w:r>
      <w:r>
        <w:t xml:space="preserve"> </w:t>
      </w:r>
      <w:r>
        <w:t xml:space="preserve">(điểm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tan rã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đặc tả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gradient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gradient có hướng: vai trò điều tiết của thể chế, và của lá chắn số gắn với nó, mạnh nhất ở biên dưới của gradient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gradient.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tan rã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tan rã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2.2,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2.2.</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Lall (2004)</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(gradient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gradient</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2.1 ánh xạ các nghiên cứu thành phần với mục trình bày kết quả và các giả thuyết tương ứng.</w:t>
      </w:r>
    </w:p>
    <w:p>
      <w:pPr>
        <w:pStyle w:val="BodyText"/>
      </w:pPr>
      <w:r>
        <w:rPr>
          <w:bCs/>
          <w:b/>
        </w:rPr>
        <w:t xml:space="preserve">Bảng 2.1.</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châu Á</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gradient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2.1 trình bày, để bảo đảm rằng khung lý thuyết được kiểm định trên toàn bộ gradient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5"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4"/>
        </w:numPr>
        <w:pStyle w:val="Compact"/>
      </w:pPr>
      <w:r>
        <w:rPr>
          <w:bCs/>
          <w:b/>
        </w:rPr>
        <w:t xml:space="preserve">Mở rộng biến điều tiết coverage</w:t>
      </w:r>
      <w:r>
        <w:t xml:space="preserve">: thêm cụm biến điều tiết về năng lực số và 6 chế độ con ICRV, chưa được xem xét đầy đủ trong các các phân tích tổng hợp trước.</w:t>
      </w:r>
    </w:p>
    <w:p>
      <w:pPr>
        <w:numPr>
          <w:ilvl w:val="0"/>
          <w:numId w:val="1004"/>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End w:id="95"/>
    <w:bookmarkStart w:id="112" w:name="X2f2dc61cf51b22160123af8668c978f8ce43175"/>
    <w:p>
      <w:pPr>
        <w:pStyle w:val="Heading2"/>
      </w:pPr>
      <w:r>
        <w:t xml:space="preserve">3.3 Giai đoạn 2: Phân tích thực nghiệm đa quốc gia</w:t>
      </w:r>
    </w:p>
    <w:bookmarkStart w:id="96"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6"/>
    <w:bookmarkStart w:id="97"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module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97"/>
    <w:bookmarkStart w:id="98"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năng suất lao động được sử dụng rộng rãi trong nghiên cứu WBES và trong tài liệu về firm productivity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financial statement đầy đủ, nên năng suất lao động phù hợp hơn ROA/ROE/ROS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hiệu quả doanh nghiệp là khái niệm đa chiều và việc lựa chọn thước đo phải phù hợp với bối cảnh dữ liệu (xem Chương 2).</w:t>
      </w:r>
    </w:p>
    <w:bookmarkEnd w:id="98"/>
    <w:bookmarkStart w:id="99"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99"/>
    <w:bookmarkStart w:id="10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cường độ xuất khẩu (FSTS, tỷ lệ doanh thu xuất khẩu trên tổng doanh thu). Mô hình đưa vào đồng thời</w:t>
      </w:r>
      <w:r>
        <w:t xml:space="preserve"> </w:t>
      </w:r>
      <m:oMath>
        <m:r>
          <m:t>F</m:t>
        </m:r>
        <m:r>
          <m:t>S</m:t>
        </m:r>
        <m:r>
          <m:t>T</m:t>
        </m:r>
        <m:r>
          <m:t>S</m:t>
        </m:r>
      </m:oMath>
      <w:r>
        <w:t xml:space="preserve"> </w:t>
      </w:r>
      <w:r>
        <w:t xml:space="preserve">và</w:t>
      </w:r>
      <w:r>
        <w:t xml:space="preserve"> </w:t>
      </w:r>
      <m:oMath>
        <m:r>
          <m:t>F</m:t>
        </m:r>
        <m:r>
          <m:t>S</m:t>
        </m:r>
        <m:r>
          <m:t>T</m:t>
        </m:r>
        <m:sSup>
          <m:e>
            <m: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 FSTS là thước đo quốc tế hóa phổ biến nhất trong tài liệu về quan hệ quốc tế hóa và hiệu quả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 FSTS, làm cơ sở cho việc kiểm định mở rộng trong luận án.</w:t>
      </w:r>
    </w:p>
    <w:bookmarkEnd w:id="100"/>
    <w:bookmarkStart w:id="101"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1"/>
    <w:bookmarkStart w:id="102"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t>F</m:t>
        </m:r>
        <m:r>
          <m:t>S</m:t>
        </m:r>
        <m:r>
          <m:t>T</m:t>
        </m:r>
        <m: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t>T</m:t>
        </m:r>
        <m: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t>F</m:t>
            </m:r>
            <m:r>
              <m:t>S</m:t>
            </m:r>
            <m:r>
              <m:t>T</m:t>
            </m:r>
            <m:r>
              <m:t>S</m:t>
            </m:r>
          </m:e>
        </m:bar>
      </m:oMath>
      <w:r>
        <w:t xml:space="preserve">.</w:t>
      </w:r>
    </w:p>
    <w:bookmarkEnd w:id="102"/>
    <w:bookmarkStart w:id="106" w:name="đo-lường-biến-điều-tiết"/>
    <w:p>
      <w:pPr>
        <w:pStyle w:val="Heading3"/>
      </w:pPr>
      <w:r>
        <w:t xml:space="preserve">3.3.4 Đo lường biến điều tiết</w:t>
      </w:r>
    </w:p>
    <w:bookmarkStart w:id="103" w:name="digital-constructs-tci-và-dai"/>
    <w:p>
      <w:pPr>
        <w:pStyle w:val="Heading4"/>
      </w:pPr>
      <w:r>
        <w:t xml:space="preserve">Digital constructs (TCI và DAI)</w:t>
      </w:r>
    </w:p>
    <w:p>
      <w:pPr>
        <w:pStyle w:val="FirstParagraph"/>
      </w:pPr>
      <w:r>
        <w:t xml:space="preserve">Luận án phân biệt rõ hai cấu trúc:</w:t>
      </w:r>
    </w:p>
    <w:p>
      <w:pPr>
        <w:numPr>
          <w:ilvl w:val="0"/>
          <w:numId w:val="1005"/>
        </w:numPr>
        <w:pStyle w:val="Compact"/>
      </w:pPr>
      <w:r>
        <w:rPr>
          <w:bCs/>
          <w:b/>
        </w:rPr>
        <w:t xml:space="preserve">Technological Capability Index (TCI)</w:t>
      </w:r>
      <w:r>
        <w:t xml:space="preserve">: chiều sâu năng lực công nghệ, tổng hợp từ cấp phép công nghệ nước ngoài, chi tiêu nghiên cứu và phát triển, đổi mới sản phẩm, và chứng nhận chất lượng.</w:t>
      </w:r>
    </w:p>
    <w:p>
      <w:pPr>
        <w:numPr>
          <w:ilvl w:val="0"/>
          <w:numId w:val="1005"/>
        </w:numPr>
        <w:pStyle w:val="Compact"/>
      </w:pPr>
      <w:r>
        <w:rPr>
          <w:bCs/>
          <w:b/>
        </w:rPr>
        <w:t xml:space="preserve">Digital Adoption Index (DAI)</w:t>
      </w:r>
      <w:r>
        <w:t xml:space="preserve">: mức độ chấp nhận số bề mặt, tổng hợp từ website, thư điện tử, bán hàng trực tuyến (DAI_thin) hoặc bổ sung thanh toán điện tử và nhà cung cấp điện tử (DAI_rich).</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6"/>
        </w:numPr>
        <w:pStyle w:val="Compact"/>
      </w:pPr>
      <w:r>
        <w:rPr>
          <w:bCs/>
          <w:b/>
        </w:rPr>
        <w:t xml:space="preserve">TCI_thin</w:t>
      </w:r>
      <w:r>
        <w:t xml:space="preserve"> </w:t>
      </w:r>
      <w:r>
        <w:t xml:space="preserve">= chuẩn hóa z của trung bình hai mục cốt lõi: chứng chỉ chất lượng quốc tế (b8) và cấp phép công nghệ nước ngoài (e6). Dùng trong các nghiên cứu Việt Nam (P3), Singapore (P4), đa quốc gia (P7) và đảo nhỏ Thái Bình Dương (P8).</w:t>
      </w:r>
    </w:p>
    <w:p>
      <w:pPr>
        <w:numPr>
          <w:ilvl w:val="0"/>
          <w:numId w:val="1006"/>
        </w:numPr>
        <w:pStyle w:val="Compact"/>
      </w:pPr>
      <w:r>
        <w:rPr>
          <w:bCs/>
          <w:b/>
        </w:rPr>
        <w:t xml:space="preserve">TCI_full</w:t>
      </w:r>
      <w:r>
        <w:t xml:space="preserve"> </w:t>
      </w:r>
      <w:r>
        <w:t xml:space="preserve">= chuẩn hóa z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3"/>
    <w:bookmarkStart w:id="104"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chế độ con ICRV (classification từ Khanna &amp; Palepu, 2010 mở rộng).</w:t>
      </w:r>
    </w:p>
    <w:p>
      <w:pPr>
        <w:pStyle w:val="BodyText"/>
      </w:pPr>
      <w:r>
        <w:rPr>
          <w:bCs/>
          <w:b/>
        </w:rPr>
        <w:t xml:space="preserve">Cơ sở kế thừa</w:t>
      </w:r>
      <w:r>
        <w:t xml:space="preserve">: Khanna và Palepu (2010) với khoảng trống thể chế; North (1990) với institutional analysis; Marano et al. (2016) với phân tích tổng hợp evidence về institutional các biến điều tiết.</w:t>
      </w:r>
    </w:p>
    <w:bookmarkEnd w:id="104"/>
    <w:bookmarkStart w:id="105"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105"/>
    <w:bookmarkEnd w:id="106"/>
    <w:bookmarkStart w:id="107"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đảo nhỏ Thái Bình Dương,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7"/>
    <w:bookmarkStart w:id="108"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module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Tầng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Tầng 2 thanh toán điện tử và Tầng 3 đám mây/hệ hoạch định nguồn lực doanh nghiệp. Khung đa quốc gia dùng biến thể Tầng 1 cộng Tầng 2 khi trường thanh toán điện tử có mặt và thu gọn về Tầng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8"/>
    <w:bookmarkStart w:id="109"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đặc tả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09"/>
    <w:bookmarkStart w:id="110"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tan rã;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0"/>
    <w:bookmarkStart w:id="111"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(FSTS²)</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Tầng 1: website (nhị phân); Tầng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1"/>
    <w:bookmarkEnd w:id="112"/>
    <w:bookmarkStart w:id="130" w:name="mô-hình-phân-tích"/>
    <w:p>
      <w:pPr>
        <w:pStyle w:val="Heading2"/>
      </w:pPr>
      <w:r>
        <w:t xml:space="preserve">3.4 Mô hình phân tích</w:t>
      </w:r>
    </w:p>
    <w:bookmarkStart w:id="113"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3"/>
    <w:bookmarkStart w:id="114"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114"/>
    <w:bookmarkStart w:id="115"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5"/>
    <w:bookmarkStart w:id="116"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gradient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116"/>
    <w:bookmarkStart w:id="119" w:name="mô-hình-điều-tiết-h2h6"/>
    <w:p>
      <w:pPr>
        <w:pStyle w:val="Heading3"/>
      </w:pPr>
      <w:r>
        <w:t xml:space="preserve">3.4.4 Mô hình điều tiết (H2–H6)</w:t>
      </w:r>
    </w:p>
    <w:bookmarkStart w:id="117"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7"/>
    <w:bookmarkStart w:id="118" w:name="tương-tác-ba-chiều-synthesis"/>
    <w:p>
      <w:pPr>
        <w:pStyle w:val="Heading4"/>
      </w:pPr>
      <w:r>
        <w:t xml:space="preserve">Tương tác ba chiều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three-way điều tiết digital × institutional × manager trong bối cảnh châu Á và Pacific với 50 nước chưa được kiểm định trước đây.</w:t>
      </w:r>
    </w:p>
    <w:bookmarkEnd w:id="118"/>
    <w:bookmarkEnd w:id="119"/>
    <w:bookmarkStart w:id="120"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0"/>
    <w:bookmarkStart w:id="121"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121"/>
    <w:bookmarkStart w:id="122"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tiếng Việt:</w:t>
      </w:r>
    </w:p>
    <w:p>
      <w:pPr>
        <w:numPr>
          <w:ilvl w:val="0"/>
          <w:numId w:val="1007"/>
        </w:numPr>
        <w:pStyle w:val="Compact"/>
      </w:pPr>
      <w:r>
        <w:rPr>
          <w:bCs/>
          <w:b/>
        </w:rPr>
        <w:t xml:space="preserve">lnNSLD_it</w:t>
      </w:r>
      <w:r>
        <w:t xml:space="preserve"> </w:t>
      </w:r>
      <w:r>
        <w:t xml:space="preserve">= lnLP_it: log năng suất lao động (ln doanh thu PPP / lao động thường xuyên)</w:t>
      </w:r>
    </w:p>
    <w:p>
      <w:pPr>
        <w:numPr>
          <w:ilvl w:val="0"/>
          <w:numId w:val="1007"/>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7"/>
        </w:numPr>
        <w:pStyle w:val="Compact"/>
      </w:pPr>
      <w:r>
        <w:rPr>
          <w:bCs/>
          <w:b/>
        </w:rPr>
        <w:t xml:space="preserve">CDDXK_c²_it</w:t>
      </w:r>
      <w:r>
        <w:t xml:space="preserve"> </w:t>
      </w:r>
      <w:r>
        <w:t xml:space="preserve">= FSTS_c²_it: bình phương cường độ xuất khẩu điều chỉnh</w:t>
      </w:r>
    </w:p>
    <w:p>
      <w:pPr>
        <w:numPr>
          <w:ilvl w:val="0"/>
          <w:numId w:val="1007"/>
        </w:numPr>
        <w:pStyle w:val="Compact"/>
      </w:pPr>
      <w:r>
        <w:rPr>
          <w:bCs/>
          <w:b/>
        </w:rPr>
        <w:t xml:space="preserve">NLCN_z_it</w:t>
      </w:r>
      <w:r>
        <w:t xml:space="preserve"> </w:t>
      </w:r>
      <w:r>
        <w:t xml:space="preserve">= TCI_z_it: năng lực công nghệ (chuẩn hoá z trong sóng)</w:t>
      </w:r>
    </w:p>
    <w:p>
      <w:pPr>
        <w:numPr>
          <w:ilvl w:val="0"/>
          <w:numId w:val="1007"/>
        </w:numPr>
        <w:pStyle w:val="Compact"/>
      </w:pPr>
      <w:r>
        <w:rPr>
          <w:bCs/>
          <w:b/>
        </w:rPr>
        <w:t xml:space="preserve">CSS_z_it</w:t>
      </w:r>
      <w:r>
        <w:t xml:space="preserve"> </w:t>
      </w:r>
      <w:r>
        <w:t xml:space="preserve">= DAI_z_it: chỉ số số hoá cơ sở, Tầng 1 (chuẩn hoá z trong sóng)</w:t>
      </w:r>
    </w:p>
    <w:p>
      <w:pPr>
        <w:numPr>
          <w:ilvl w:val="0"/>
          <w:numId w:val="1007"/>
        </w:numPr>
        <w:pStyle w:val="Compact"/>
      </w:pPr>
      <w:r>
        <w:rPr>
          <w:bCs/>
          <w:b/>
        </w:rPr>
        <w:t xml:space="preserve">lnLD, TuoiDN, SoHuuNuocNgoai</w:t>
      </w:r>
      <w:r>
        <w:t xml:space="preserve">: kiểm soát quy mô, tuổi, sở hữu</w:t>
      </w:r>
    </w:p>
    <w:p>
      <w:pPr>
        <w:numPr>
          <w:ilvl w:val="0"/>
          <w:numId w:val="1007"/>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CSS/DAI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e>
            </m:mr>
            <m:mr>
              <m:e/>
              <m:e>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Tầng 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22"/>
    <w:bookmarkStart w:id="123"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8"/>
        </w:numPr>
        <w:pStyle w:val="Compact"/>
      </w:pPr>
      <w:r>
        <w:rPr>
          <w:bCs/>
          <w:b/>
        </w:rPr>
        <w:t xml:space="preserve">lnNSLD_i</w:t>
      </w:r>
      <w:r>
        <w:t xml:space="preserve"> </w:t>
      </w:r>
      <w:r>
        <w:t xml:space="preserve">= lnLP_i: log năng suất lao động (ln doanh thu PPP / lao động thường xuyên)</w:t>
      </w:r>
    </w:p>
    <w:p>
      <w:pPr>
        <w:numPr>
          <w:ilvl w:val="0"/>
          <w:numId w:val="1008"/>
        </w:numPr>
        <w:pStyle w:val="Compact"/>
      </w:pPr>
      <w:r>
        <w:rPr>
          <w:bCs/>
          <w:b/>
        </w:rPr>
        <w:t xml:space="preserve">CDDXK_i</w:t>
      </w:r>
      <w:r>
        <w:t xml:space="preserve"> </w:t>
      </w:r>
      <w:r>
        <w:t xml:space="preserve">= FSTS_i: cường độ xuất khẩu trực tiếp (d3c / 100)</w:t>
      </w:r>
    </w:p>
    <w:p>
      <w:pPr>
        <w:numPr>
          <w:ilvl w:val="0"/>
          <w:numId w:val="1008"/>
        </w:numPr>
        <w:pStyle w:val="Compact"/>
      </w:pPr>
      <w:r>
        <w:rPr>
          <w:bCs/>
          <w:b/>
        </w:rPr>
        <w:t xml:space="preserve">CDDXK_c_i</w:t>
      </w:r>
      <w:r>
        <w:t xml:space="preserve"> </w:t>
      </w:r>
      <w:r>
        <w:t xml:space="preserve">= FSTS_c_i: CDDXK trung bình mẫu; CDDXK_c² là bình phương</w:t>
      </w:r>
    </w:p>
    <w:p>
      <w:pPr>
        <w:numPr>
          <w:ilvl w:val="0"/>
          <w:numId w:val="1008"/>
        </w:numPr>
        <w:pStyle w:val="Compact"/>
      </w:pPr>
      <w:r>
        <w:rPr>
          <w:bCs/>
          <w:b/>
        </w:rPr>
        <w:t xml:space="preserve">NLCN_z_i</w:t>
      </w:r>
      <w:r>
        <w:t xml:space="preserve"> </w:t>
      </w:r>
      <w:r>
        <w:t xml:space="preserve">= TCI_z_i: năng lực công nghệ, chuẩn hóa z của trung bình(b8₀₁, e6₀₁)</w:t>
      </w:r>
    </w:p>
    <w:p>
      <w:pPr>
        <w:numPr>
          <w:ilvl w:val="0"/>
          <w:numId w:val="1008"/>
        </w:numPr>
        <w:pStyle w:val="Compact"/>
      </w:pPr>
      <w:r>
        <w:rPr>
          <w:bCs/>
          <w:b/>
        </w:rPr>
        <w:t xml:space="preserve">CSS_z_i</w:t>
      </w:r>
      <w:r>
        <w:t xml:space="preserve"> </w:t>
      </w:r>
      <w:r>
        <w:t xml:space="preserve">= DAI_z_i: chỉ số số hoá</w:t>
      </w:r>
      <w:r>
        <w:t xml:space="preserve"> </w:t>
      </w:r>
      <w:r>
        <w:rPr>
          <w:bCs/>
          <w:b/>
        </w:rPr>
        <w:t xml:space="preserve">Tầng 1 và 2</w:t>
      </w:r>
      <w:r>
        <w:t xml:space="preserve">, chuẩn hóa z của trung bình(c22b₀₁, k33₀₁, k38₀₁); khác P3 ở chỗ bao gồm thanh toán điện tử hai chiều (Tầng 2)</w:t>
      </w:r>
    </w:p>
    <w:p>
      <w:pPr>
        <w:numPr>
          <w:ilvl w:val="0"/>
          <w:numId w:val="1008"/>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8"/>
        </w:numPr>
        <w:pStyle w:val="Compact"/>
      </w:pPr>
      <w:r>
        <w:rPr>
          <w:bCs/>
          <w:b/>
        </w:rPr>
        <w:t xml:space="preserve">δ_s</w:t>
      </w:r>
      <w:r>
        <w:t xml:space="preserve">: ngành hiệu ứng cố định (ISIC 1-chữ số)</w:t>
      </w:r>
    </w:p>
    <w:p>
      <w:pPr>
        <w:numPr>
          <w:ilvl w:val="0"/>
          <w:numId w:val="1008"/>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quốc tế hóa và hiệu quả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Tầng 1 và 2</w:t>
            </w:r>
          </w:p>
        </w:tc>
        <w:tc>
          <w:tcPr/>
          <w:p>
            <w:pPr>
              <w:pStyle w:val="Compact"/>
              <w:jc w:val="left"/>
            </w:pPr>
            <w:r>
              <w:t xml:space="preserve">Số hoá Tầng 1 và 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3"/>
    <w:bookmarkStart w:id="124"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9"/>
        </w:numPr>
        <w:pStyle w:val="Compact"/>
      </w:pPr>
      <w:r>
        <w:rPr>
          <w:bCs/>
          <w:b/>
        </w:rPr>
        <w:t xml:space="preserve">lnNSLD_it</w:t>
      </w:r>
      <w:r>
        <w:t xml:space="preserve"> </w:t>
      </w:r>
      <w:r>
        <w:t xml:space="preserve">= lnLP_it: log năng suất lao động (biến phụ thuộc)</w:t>
      </w:r>
    </w:p>
    <w:p>
      <w:pPr>
        <w:numPr>
          <w:ilvl w:val="0"/>
          <w:numId w:val="1009"/>
        </w:numPr>
        <w:pStyle w:val="Compact"/>
      </w:pPr>
      <w:r>
        <w:rPr>
          <w:bCs/>
          <w:b/>
        </w:rPr>
        <w:t xml:space="preserve">CDDXK_c_it</w:t>
      </w:r>
      <w:r>
        <w:t xml:space="preserve"> </w:t>
      </w:r>
      <w:r>
        <w:t xml:space="preserve">= FSTS_c_it: cường độ xuất khẩu centred theo trung bình sóng</w:t>
      </w:r>
    </w:p>
    <w:p>
      <w:pPr>
        <w:numPr>
          <w:ilvl w:val="0"/>
          <w:numId w:val="1009"/>
        </w:numPr>
        <w:pStyle w:val="Compact"/>
      </w:pPr>
      <w:r>
        <w:rPr>
          <w:bCs/>
          <w:b/>
        </w:rPr>
        <w:t xml:space="preserve">NLCN_z_it</w:t>
      </w:r>
      <w:r>
        <w:t xml:space="preserve"> </w:t>
      </w:r>
      <w:r>
        <w:t xml:space="preserve">= TCI_full_z_it: năng lực công nghệ toàn diện, chuẩn hóa z của TB(b8₀₁, e6₀₁, h1₀₁, h8₀₁); mở rộng hơn P3</w:t>
      </w:r>
    </w:p>
    <w:p>
      <w:pPr>
        <w:numPr>
          <w:ilvl w:val="0"/>
          <w:numId w:val="1009"/>
        </w:numPr>
        <w:pStyle w:val="Compact"/>
      </w:pPr>
      <w:r>
        <w:rPr>
          <w:bCs/>
          <w:b/>
        </w:rPr>
        <w:t xml:space="preserve">CSS_z_it</w:t>
      </w:r>
      <w:r>
        <w:t xml:space="preserve"> </w:t>
      </w:r>
      <w:r>
        <w:t xml:space="preserve">= DAI_core_it: chỉ số số hoá cơ bản, chỉ c22b₀₁ (Tầng 1 mỏng, một chỉ báo nhị phân)</w:t>
      </w:r>
    </w:p>
    <w:p>
      <w:pPr>
        <w:numPr>
          <w:ilvl w:val="0"/>
          <w:numId w:val="1009"/>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9"/>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Tầng 1 đơn biến</w:t>
            </w:r>
            <w:r>
              <w:t xml:space="preserve"> </w:t>
            </w:r>
            <w:r>
              <w:t xml:space="preserve">(binary)</w:t>
            </w:r>
          </w:p>
        </w:tc>
        <w:tc>
          <w:tcPr/>
          <w:p>
            <w:pPr>
              <w:pStyle w:val="Compact"/>
              <w:jc w:val="left"/>
            </w:pPr>
            <w:r>
              <w:t xml:space="preserve">Số hoá Tầng 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Tầng 1 đơn biến, không đủ để kiểm định CDCM; hàm ý chính sách và lý thuyết khác với P4 Singapore (Tầng 1 và 2).</w:t>
      </w:r>
    </w:p>
    <w:p>
      <w:r>
        <w:pict>
          <v:rect style="width:0;height:1.5pt" o:hralign="center" o:hrstd="t" o:hr="t"/>
        </w:pict>
      </w:r>
    </w:p>
    <w:bookmarkEnd w:id="124"/>
    <w:bookmarkStart w:id="127"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10"/>
        </w:numPr>
        <w:pStyle w:val="Compact"/>
      </w:pPr>
      <w:r>
        <w:rPr>
          <w:bCs/>
          <w:b/>
        </w:rPr>
        <w:t xml:space="preserve">lnNSLD_it</w:t>
      </w:r>
      <w:r>
        <w:t xml:space="preserve">: ln(năng suất lao động) = ln(doanh thu / lao động thường trực), biến phụ thuộc</w:t>
      </w:r>
    </w:p>
    <w:p>
      <w:pPr>
        <w:numPr>
          <w:ilvl w:val="0"/>
          <w:numId w:val="1010"/>
        </w:numPr>
        <w:pStyle w:val="Compact"/>
      </w:pPr>
      <w:r>
        <w:rPr>
          <w:bCs/>
          <w:b/>
        </w:rPr>
        <w:t xml:space="preserve">CDDXK_c_it</w:t>
      </w:r>
      <w:r>
        <w:t xml:space="preserve">: cường độ xuất khẩu mean-centred, FSTS_c = (d3c/100) − mean_pool(FSTS)</w:t>
      </w:r>
    </w:p>
    <w:p>
      <w:pPr>
        <w:numPr>
          <w:ilvl w:val="0"/>
          <w:numId w:val="1010"/>
        </w:numPr>
        <w:pStyle w:val="Compact"/>
      </w:pPr>
      <w:r>
        <w:rPr>
          <w:bCs/>
          <w:b/>
        </w:rPr>
        <w:t xml:space="preserve">CDDXK_c²_it</w:t>
      </w:r>
      <w:r>
        <w:t xml:space="preserve">: CDDXK_c bình phương, kiểm định phi tuyến</w:t>
      </w:r>
    </w:p>
    <w:p>
      <w:pPr>
        <w:numPr>
          <w:ilvl w:val="0"/>
          <w:numId w:val="1010"/>
        </w:numPr>
        <w:pStyle w:val="Compact"/>
      </w:pPr>
      <w:r>
        <w:rPr>
          <w:bCs/>
          <w:b/>
        </w:rPr>
        <w:t xml:space="preserve">NLCN_z_it</w:t>
      </w:r>
      <w:r>
        <w:t xml:space="preserve">: năng lực công nghệ z-standardised, TCI_z = chuẩn hóa z(b8, e6)</w:t>
      </w:r>
    </w:p>
    <w:p>
      <w:pPr>
        <w:numPr>
          <w:ilvl w:val="0"/>
          <w:numId w:val="1010"/>
        </w:numPr>
        <w:pStyle w:val="Compact"/>
      </w:pPr>
      <w:r>
        <w:rPr>
          <w:bCs/>
          <w:b/>
        </w:rPr>
        <w:t xml:space="preserve">CSS_z_it</w:t>
      </w:r>
      <w:r>
        <w:t xml:space="preserve">: chỉ số số hoá z-standardised, DAI_z = chuẩn hóa z(website + e-pay, Tầng 1 và 2: c22b/e1, k33)</w:t>
      </w:r>
    </w:p>
    <w:p>
      <w:pPr>
        <w:numPr>
          <w:ilvl w:val="0"/>
          <w:numId w:val="1010"/>
        </w:numPr>
        <w:pStyle w:val="Compact"/>
      </w:pPr>
      <w:r>
        <w:rPr>
          <w:bCs/>
          <w:b/>
        </w:rPr>
        <w:t xml:space="preserve">KNQLy_it</w:t>
      </w:r>
      <w:r>
        <w:t xml:space="preserve">: kinh nghiệm nhà quản lý trong ngành (năm, b7)</w:t>
      </w:r>
    </w:p>
    <w:p>
      <w:pPr>
        <w:numPr>
          <w:ilvl w:val="0"/>
          <w:numId w:val="1010"/>
        </w:numPr>
        <w:pStyle w:val="Compact"/>
      </w:pPr>
      <w:r>
        <w:rPr>
          <w:bCs/>
          <w:b/>
        </w:rPr>
        <w:t xml:space="preserve">NQL_nu_it</w:t>
      </w:r>
      <w:r>
        <w:t xml:space="preserve">: top manager là nữ (binary, b7a/b6a)</w:t>
      </w:r>
    </w:p>
    <w:p>
      <w:pPr>
        <w:numPr>
          <w:ilvl w:val="0"/>
          <w:numId w:val="1010"/>
        </w:numPr>
        <w:pStyle w:val="Compact"/>
      </w:pPr>
      <w:r>
        <w:rPr>
          <w:bCs/>
          <w:b/>
        </w:rPr>
        <w:t xml:space="preserve">ICRV_j</w:t>
      </w:r>
      <w:r>
        <w:t xml:space="preserve">: phân loại chế độ thể chế ICRV (integer 1–6, Advanced sang SIDS)</w:t>
      </w:r>
    </w:p>
    <w:p>
      <w:pPr>
        <w:numPr>
          <w:ilvl w:val="0"/>
          <w:numId w:val="1010"/>
        </w:numPr>
        <w:pStyle w:val="Compact"/>
      </w:pPr>
      <w:r>
        <w:rPr>
          <w:bCs/>
          <w:b/>
        </w:rPr>
        <w:t xml:space="preserve">lnLD_it</w:t>
      </w:r>
      <w:r>
        <w:t xml:space="preserve">: ln(lao động thường trực), kiểm soát quy mô doanh nghiệp</w:t>
      </w:r>
    </w:p>
    <w:p>
      <w:pPr>
        <w:numPr>
          <w:ilvl w:val="0"/>
          <w:numId w:val="1010"/>
        </w:numPr>
        <w:pStyle w:val="Compact"/>
      </w:pPr>
      <w:r>
        <w:rPr>
          <w:bCs/>
          <w:b/>
        </w:rPr>
        <w:t xml:space="preserve">TuoiDN_it</w:t>
      </w:r>
      <w:r>
        <w:t xml:space="preserve">: tuổi doanh nghiệp (năm_khảo_sát − b5)</w:t>
      </w:r>
    </w:p>
    <w:p>
      <w:pPr>
        <w:numPr>
          <w:ilvl w:val="0"/>
          <w:numId w:val="1010"/>
        </w:numPr>
        <w:pStyle w:val="Compact"/>
      </w:pPr>
      <w:r>
        <w:rPr>
          <w:bCs/>
          <w:b/>
        </w:rPr>
        <w:t xml:space="preserve">SoHuuNN_it</w:t>
      </w:r>
      <w:r>
        <w:t xml:space="preserve">: tỷ lệ sở hữu nước ngoài (b6a/100)</w:t>
      </w:r>
    </w:p>
    <w:p>
      <w:pPr>
        <w:numPr>
          <w:ilvl w:val="0"/>
          <w:numId w:val="1010"/>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tan rã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chuẩn hóa z(website + thanh toán điện tử): Tầng 1 và 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Tầng 1 và 2 khi k33 có mặt, Tầng 1 only khi thiếu, khác với P3 Vietnam (chỉ Tầng 1) và đồng nhất với P4 Singapore (Tầng 1 và 2). ICRV là biến điều tiết liên tục (integer), không phải dummies, nhằm giữ N đủ lớn trong M10–M11.</w:t>
      </w:r>
    </w:p>
    <w:p>
      <w:r>
        <w:pict>
          <v:rect style="width:0;height:1.5pt" o:hralign="center" o:hrstd="t" o:hr="t"/>
        </w:pict>
      </w:r>
    </w:p>
    <w:bookmarkStart w:id="125" w:name="X7ae0fbe3e53b09e3ffb61b533c4c804e40982e2"/>
    <w:p>
      <w:pPr>
        <w:pStyle w:val="Heading4"/>
      </w:pPr>
      <w:r>
        <w:t xml:space="preserve">3.4.5.5 Mô hình cụ thể: Nghiên cứu 8: đảo nhỏ Thái Bình Dương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CSS_z</w:t>
            </w:r>
          </w:p>
        </w:tc>
        <w:tc>
          <w:tcPr/>
          <w:p>
            <w:pPr>
              <w:pStyle w:val="Compact"/>
              <w:jc w:val="left"/>
            </w:pPr>
            <w:r>
              <w:t xml:space="preserve">Chỉ số số hoá (Tầng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Tầng 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CSS_z (DAI) là biến đại diện tĩnh Tầng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t>l</m:t>
                </m:r>
                <m:r>
                  <m:t>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e>
            </m:mr>
            <m:mr>
              <m:e/>
              <m:e>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chỉ doanh nghiệp xuất khẩu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z(website binary): Tầng 1 only</w:t>
            </w:r>
          </w:p>
        </w:tc>
        <w:tc>
          <w:tcPr/>
          <w:p>
            <w:pPr>
              <w:pStyle w:val="Compact"/>
              <w:jc w:val="left"/>
            </w:pPr>
            <w:r>
              <w:t xml:space="preserve">Số hoá, biến đại diện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Tầng 1 only, WBES không thu thập thang đo đầy đủ cho số hoá động tại SIDS.</w:t>
      </w:r>
    </w:p>
    <w:p>
      <w:r>
        <w:pict>
          <v:rect style="width:0;height:1.5pt" o:hralign="center" o:hrstd="t" o:hr="t"/>
        </w:pict>
      </w:r>
    </w:p>
    <w:bookmarkEnd w:id="125"/>
    <w:bookmarkStart w:id="126"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Tầng 2 (</w:t>
      </w:r>
      <w:r>
        <w:rPr>
          <w:rStyle w:val="VerbatimChar"/>
        </w:rPr>
        <w:t xml:space="preserve">k33</w:t>
      </w:r>
      <w:r>
        <w:t xml:space="preserve">, tỷ trọng doanh thu qua thanh toán điện tử) cho phép kiểm định điều tiết DAI Tầng 2, được xử lý như phân tích thăm dò vì chỉ có ở một đợt.</w:t>
      </w:r>
    </w:p>
    <w:bookmarkEnd w:id="126"/>
    <w:bookmarkEnd w:id="127"/>
    <w:bookmarkStart w:id="128"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28"/>
    <w:bookmarkStart w:id="129"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29"/>
    <w:bookmarkEnd w:id="130"/>
    <w:bookmarkStart w:id="141" w:name="kiểm-định-độ-vững"/>
    <w:p>
      <w:pPr>
        <w:pStyle w:val="Heading2"/>
      </w:pPr>
      <w:r>
        <w:t xml:space="preserve">3.5 Kiểm định độ vững</w:t>
      </w:r>
    </w:p>
    <w:bookmarkStart w:id="131"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Tầng 1 và biến thể gồm cả Tầng 2 trên mẫu con từ năm 2024 trở đi, nơi các chỉ báo số phong phú hơn đã sẵn có.</w:t>
      </w:r>
    </w:p>
    <w:bookmarkEnd w:id="131"/>
    <w:bookmarkStart w:id="132"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2"/>
    <w:bookmarkStart w:id="133"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3"/>
    <w:bookmarkStart w:id="134"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đặc tả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4"/>
    <w:bookmarkStart w:id="135"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5"/>
    <w:bookmarkStart w:id="136"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36"/>
    <w:bookmarkStart w:id="137"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gradient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137"/>
    <w:bookmarkStart w:id="138"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138"/>
    <w:bookmarkStart w:id="139"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39"/>
    <w:bookmarkStart w:id="140" w:name="X9d6404b3058a9ea6c8e6196550350ab05ad4e76"/>
    <w:p>
      <w:pPr>
        <w:pStyle w:val="Heading3"/>
      </w:pPr>
      <w:r>
        <w:t xml:space="preserve">3.5.6.3 Tính nhất quán về dấu qua nhiều đặc tả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đặc tả,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đặc tả: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140"/>
    <w:bookmarkEnd w:id="141"/>
    <w:bookmarkStart w:id="142"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doanh nghiệp đa chiều trong bối cảnh WBES</w:t>
            </w:r>
          </w:p>
        </w:tc>
      </w:tr>
      <w:tr>
        <w:tc>
          <w:tcPr/>
          <w:p>
            <w:pPr>
              <w:pStyle w:val="Compact"/>
              <w:jc w:val="left"/>
            </w:pPr>
            <w:r>
              <w:t xml:space="preserve">FSTS + FSTS²</w:t>
            </w:r>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điều tiết</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2"/>
    <w:bookmarkStart w:id="143"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3"/>
    <w:bookmarkStart w:id="144" w:name="chương-4-kết-quả-nghiên-cứu"/>
    <w:p>
      <w:pPr>
        <w:pStyle w:val="Heading1"/>
      </w:pPr>
      <w:r>
        <w:t xml:space="preserve">CHƯƠNG 4: KẾT QUẢ NGHIÊN CỨU</w:t>
      </w:r>
    </w:p>
    <w:bookmarkEnd w:id="144"/>
    <w:p>
      <w:r>
        <w:pict>
          <v:rect style="width:0;height:1.5pt" o:hralign="center" o:hrstd="t" o:hr="t"/>
        </w:pict>
      </w:r>
    </w:p>
    <w:bookmarkStart w:id="145"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45"/>
    <w:bookmarkStart w:id="175" w:name="Xed285cd0261846a13dee28de69c0403b250498d"/>
    <w:p>
      <w:pPr>
        <w:pStyle w:val="Heading2"/>
      </w:pPr>
      <w:r>
        <w:t xml:space="preserve">4.1 Thực trạng quốc tế hóa và hiệu quả hoạt động kinh doanh tại châu Á</w:t>
      </w:r>
    </w:p>
    <w:bookmarkStart w:id="152"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(mẫu gộp WBES 2006–2026;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trung bình cao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đang nổi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được phân loại vào sáu nhóm ICRV trong mẫu gộp WBES (tổng 96.415; ngoài ra còn ~10.350 doanh nghiệp chưa gán nhóm ICRV do thiếu chỉ số thể chế). Mẫu hồi quy chính của P7 là N = 81.022 (mô hình M2, khung 50 nền gồm Nhật Bản) và giảm còn 79.080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gradient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47" name="Picture"/>
            <a:graphic>
              <a:graphicData uri="http://schemas.openxmlformats.org/drawingml/2006/picture">
                <pic:pic>
                  <pic:nvPicPr>
                    <pic:cNvPr descr="figures/fig_4_1_pool_composition.png" id="148" name="Picture"/>
                    <pic:cNvPicPr>
                      <a:picLocks noChangeArrowheads="1" noChangeAspect="1"/>
                    </pic:cNvPicPr>
                  </pic:nvPicPr>
                  <pic:blipFill>
                    <a:blip r:embed="rId146"/>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0" name="Picture"/>
            <a:graphic>
              <a:graphicData uri="http://schemas.openxmlformats.org/drawingml/2006/picture">
                <pic:pic>
                  <pic:nvPicPr>
                    <pic:cNvPr descr="figures/fig_4_0_pool_by_year.png" id="151" name="Picture"/>
                    <pic:cNvPicPr>
                      <a:picLocks noChangeArrowheads="1" noChangeAspect="1"/>
                    </pic:cNvPicPr>
                  </pic:nvPicPr>
                  <pic:blipFill>
                    <a:blip r:embed="rId149"/>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2"/>
    <w:bookmarkStart w:id="156"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(trung bình cao), với mức trung bình khu vực khoảng 8,8%.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4" name="Picture"/>
            <a:graphic>
              <a:graphicData uri="http://schemas.openxmlformats.org/drawingml/2006/picture">
                <pic:pic>
                  <pic:nvPicPr>
                    <pic:cNvPr descr="figures/fig_4_4_growth_pathway.png" id="155" name="Picture"/>
                    <pic:cNvPicPr>
                      <a:picLocks noChangeArrowheads="1" noChangeAspect="1"/>
                    </pic:cNvPicPr>
                  </pic:nvPicPr>
                  <pic:blipFill>
                    <a:blip r:embed="rId153"/>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56"/>
    <w:bookmarkStart w:id="160"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Tầng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nơi dạng chữ U ngược tan rã hoàn toàn (FIP là trường hợp giới hạn lý thuyết).</w:t>
      </w:r>
    </w:p>
    <w:p>
      <w:pPr>
        <w:pStyle w:val="BodyText"/>
      </w:pPr>
      <w:r>
        <w:t xml:space="preserve">Một biểu hiện khác của bão hòa Tầng 1 nằm ở tương quan giữa website và năng suất: phần bù tương quan của DAI Tầng 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Tầng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58" name="Picture"/>
            <a:graphic>
              <a:graphicData uri="http://schemas.openxmlformats.org/drawingml/2006/picture">
                <pic:pic>
                  <pic:nvPicPr>
                    <pic:cNvPr descr="figures/fig_4_6_firm_size.png" id="159" name="Picture"/>
                    <pic:cNvPicPr>
                      <a:picLocks noChangeArrowheads="1" noChangeAspect="1"/>
                    </pic:cNvPicPr>
                  </pic:nvPicPr>
                  <pic:blipFill>
                    <a:blip r:embed="rId157"/>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0"/>
    <w:bookmarkStart w:id="161"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1"/>
    <w:bookmarkStart w:id="162"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Tầng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2"/>
    <w:bookmarkStart w:id="172" w:name="Xa7d4e14564d57b0a9bb7f3939becc5ff181d680"/>
    <w:p>
      <w:pPr>
        <w:pStyle w:val="Heading3"/>
      </w:pPr>
      <w:r>
        <w:t xml:space="preserve">4.1.6 So sánh xuyên nhóm ICRV: gradient tương quan và độ phân tán hiệu quả</w:t>
      </w:r>
    </w:p>
    <w:p>
      <w:pPr>
        <w:pStyle w:val="FirstParagraph"/>
      </w:pPr>
      <w:r>
        <w:t xml:space="preserve">Khi đặt cạnh nhau toàn bộ các chỉ báo mô tả theo sáu nhóm ICRV, một bức tranh có cấu trúc nổi lên trong đó cường độ và đôi khi cả dấu của các tương quan thô biến thiên theo chiều suy yếu của thể chế. Hệ số tương quan Pearson giữa năng suất lao động chuẩn hóa và cường độ quốc tế hóa giảm đơn điệu theo gradient thể chế: từ</w:t>
      </w:r>
      <w:r>
        <w:t xml:space="preserve"> </w:t>
      </w:r>
      <m:oMath>
        <m:r>
          <m:rPr>
            <m:sty m:val="p"/>
          </m:rPr>
          <m:t>+</m:t>
        </m:r>
        <m:r>
          <m:t>0</m:t>
        </m:r>
        <m:r>
          <m:rPr>
            <m:sty m:val="p"/>
          </m:rPr>
          <m:t>,</m:t>
        </m:r>
        <m:r>
          <m:t>139</m:t>
        </m:r>
      </m:oMath>
      <w:r>
        <w:t xml:space="preserve"> </w:t>
      </w:r>
      <w:r>
        <w:t xml:space="preserve">ở Nhóm I, qua</w:t>
      </w:r>
      <w:r>
        <w:t xml:space="preserve"> </w:t>
      </w:r>
      <m:oMath>
        <m:r>
          <m:rPr>
            <m:sty m:val="p"/>
          </m:rPr>
          <m:t>+</m:t>
        </m:r>
        <m:r>
          <m:t>0</m:t>
        </m:r>
        <m:r>
          <m:rPr>
            <m:sty m:val="p"/>
          </m:rPr>
          <m:t>,</m:t>
        </m:r>
        <m:r>
          <m:t>131</m:t>
        </m:r>
      </m:oMath>
      <w:r>
        <w:t xml:space="preserve"> </w:t>
      </w:r>
      <w:r>
        <w:t xml:space="preserve">ở Nhóm II,</w:t>
      </w:r>
      <w:r>
        <w:t xml:space="preserve"> </w:t>
      </w:r>
      <m:oMath>
        <m:r>
          <m:rPr>
            <m:sty m:val="p"/>
          </m:rPr>
          <m:t>+</m:t>
        </m:r>
        <m:r>
          <m:t>0</m:t>
        </m:r>
        <m:r>
          <m:rPr>
            <m:sty m:val="p"/>
          </m:rPr>
          <m:t>,</m:t>
        </m:r>
        <m:r>
          <m:t>094</m:t>
        </m:r>
      </m:oMath>
      <w:r>
        <w:t xml:space="preserve"> </w:t>
      </w:r>
      <w:r>
        <w:t xml:space="preserve">ở Nhóm III,</w:t>
      </w:r>
      <w:r>
        <w:t xml:space="preserve"> </w:t>
      </w:r>
      <m:oMath>
        <m:r>
          <m:rPr>
            <m:sty m:val="p"/>
          </m:rPr>
          <m:t>+</m:t>
        </m:r>
        <m:r>
          <m:t>0</m:t>
        </m:r>
        <m:r>
          <m:rPr>
            <m:sty m:val="p"/>
          </m:rPr>
          <m:t>,</m:t>
        </m:r>
        <m:r>
          <m:t>047</m:t>
        </m:r>
      </m:oMath>
      <w:r>
        <w:t xml:space="preserve"> </w:t>
      </w:r>
      <w:r>
        <w:t xml:space="preserve">ở Nhóm IV,</w:t>
      </w:r>
      <w:r>
        <w:t xml:space="preserve"> </w:t>
      </w:r>
      <m:oMath>
        <m:r>
          <m:rPr>
            <m:sty m:val="p"/>
          </m:rPr>
          <m:t>+</m:t>
        </m:r>
        <m:r>
          <m:t>0</m:t>
        </m:r>
        <m:r>
          <m:rPr>
            <m:sty m:val="p"/>
          </m:rPr>
          <m:t>,</m:t>
        </m:r>
        <m:r>
          <m:t>018</m:t>
        </m:r>
      </m:oMath>
      <w:r>
        <w:t xml:space="preserve"> </w:t>
      </w:r>
      <w:r>
        <w:t xml:space="preserve">ở Nhóm V, rồi mất ý nghĩa thống kê và đổi dấu ở SIDS (</w:t>
      </w:r>
      <m:oMath>
        <m:r>
          <m:rPr>
            <m:sty m:val="p"/>
          </m:rPr>
          <m:t>−</m:t>
        </m:r>
        <m:r>
          <m:t>0</m:t>
        </m:r>
        <m:r>
          <m:rPr>
            <m:sty m:val="p"/>
          </m:rPr>
          <m:t>,</m:t>
        </m:r>
        <m:r>
          <m:t>009</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ngoại lệ duy nhất về dấu,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Gradient năng lực công nghệ theo sáu nhóm ICRV" title="" id="164" name="Picture"/>
            <a:graphic>
              <a:graphicData uri="http://schemas.openxmlformats.org/drawingml/2006/picture">
                <pic:pic>
                  <pic:nvPicPr>
                    <pic:cNvPr descr="figures/fig_icrv_capability_gradient.png" id="165" name="Picture"/>
                    <pic:cNvPicPr>
                      <a:picLocks noChangeArrowheads="1" noChangeAspect="1"/>
                    </pic:cNvPicPr>
                  </pic:nvPicPr>
                  <pic:blipFill>
                    <a:blip r:embed="rId163"/>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Gradient năng lực công nghệ theo sáu nhóm ICRV</w:t>
      </w:r>
    </w:p>
    <w:p>
      <w:pPr>
        <w:pStyle w:val="BodyText"/>
      </w:pPr>
      <w:r>
        <w:t xml:space="preserve">Ngược với gradient của quốc tế hóa, năng lực công nghệ là yếu tố tương quan mạnh và đồng đều nhất ở mọi nhóm, dao động từ</w:t>
      </w:r>
      <w:r>
        <w:t xml:space="preserve"> </w:t>
      </w:r>
      <m:oMath>
        <m:r>
          <m:rPr>
            <m:sty m:val="p"/>
          </m:rPr>
          <m:t>+</m:t>
        </m:r>
        <m:r>
          <m:t>0</m:t>
        </m:r>
        <m:r>
          <m:rPr>
            <m:sty m:val="p"/>
          </m:rPr>
          <m:t>,</m:t>
        </m:r>
        <m:r>
          <m:t>117</m:t>
        </m:r>
      </m:oMath>
      <w:r>
        <w:t xml:space="preserve"> </w:t>
      </w:r>
      <w:r>
        <w:t xml:space="preserve">ở SIDS đến</w:t>
      </w:r>
      <w:r>
        <w:t xml:space="preserve"> </w:t>
      </w:r>
      <m:oMath>
        <m:r>
          <m:rPr>
            <m:sty m:val="p"/>
          </m:rPr>
          <m:t>+</m:t>
        </m:r>
        <m:r>
          <m:t>0</m:t>
        </m:r>
        <m:r>
          <m:rPr>
            <m:sty m:val="p"/>
          </m:rPr>
          <m:t>,</m:t>
        </m:r>
        <m:r>
          <m:t>240</m:t>
        </m:r>
      </m:oMath>
      <w:r>
        <w:t xml:space="preserve"> </w:t>
      </w:r>
      <w:r>
        <w:t xml:space="preserve">ở Nhóm III,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104</m:t>
        </m:r>
      </m:oMath>
      <w:r>
        <w:t xml:space="preserve"> </w:t>
      </w:r>
      <w:r>
        <w:t xml:space="preserve">và SIDS</w:t>
      </w:r>
      <w:r>
        <w:t xml:space="preserve"> </w:t>
      </w:r>
      <m:oMath>
        <m:r>
          <m:rPr>
            <m:sty m:val="p"/>
          </m:rPr>
          <m:t>+</m:t>
        </m:r>
        <m:r>
          <m:t>0</m:t>
        </m:r>
        <m:r>
          <m:rPr>
            <m:sty m:val="p"/>
          </m:rPr>
          <m:t>,</m:t>
        </m:r>
        <m:r>
          <m:t>122</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67" name="Picture"/>
            <a:graphic>
              <a:graphicData uri="http://schemas.openxmlformats.org/drawingml/2006/picture">
                <pic:pic>
                  <pic:nvPicPr>
                    <pic:cNvPr descr="figures/fig_4_2_productivity_density.png" id="168" name="Picture"/>
                    <pic:cNvPicPr>
                      <a:picLocks noChangeArrowheads="1" noChangeAspect="1"/>
                    </pic:cNvPicPr>
                  </pic:nvPicPr>
                  <pic:blipFill>
                    <a:blip r:embed="rId166"/>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gradient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4</m:t>
        </m:r>
      </m:oMath>
      <w:r>
        <w:t xml:space="preserve"> </w:t>
      </w:r>
      <w:r>
        <w:t xml:space="preserve">lần ở Nhóm I lên</w:t>
      </w:r>
      <w:r>
        <w:t xml:space="preserve"> </w:t>
      </w:r>
      <m:oMath>
        <m:r>
          <m:t>5</m:t>
        </m:r>
        <m:r>
          <m:rPr>
            <m:sty m:val="p"/>
          </m:rPr>
          <m:t>,</m:t>
        </m:r>
        <m:r>
          <m:t>8</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70" name="Picture"/>
            <a:graphic>
              <a:graphicData uri="http://schemas.openxmlformats.org/drawingml/2006/picture">
                <pic:pic>
                  <pic:nvPicPr>
                    <pic:cNvPr descr="figures/fig_4_7_spider_chart.png" id="171" name="Picture"/>
                    <pic:cNvPicPr>
                      <a:picLocks noChangeArrowheads="1" noChangeAspect="1"/>
                    </pic:cNvPicPr>
                  </pic:nvPicPr>
                  <pic:blipFill>
                    <a:blip r:embed="rId169"/>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Tầng 1) lại thấp nhất ở Nhóm I (</w:t>
      </w:r>
      <m:oMath>
        <m:r>
          <m:rPr>
            <m:sty m:val="p"/>
          </m:rPr>
          <m:t>+</m:t>
        </m:r>
        <m:r>
          <m:t>0</m:t>
        </m:r>
        <m:r>
          <m:rPr>
            <m:sty m:val="p"/>
          </m:rPr>
          <m:t>,</m:t>
        </m:r>
        <m:r>
          <m:t>090</m:t>
        </m:r>
      </m:oMath>
      <w:r>
        <w:t xml:space="preserve">), trong khi cao nhất ở Nhóm II (</w:t>
      </w:r>
      <m:oMath>
        <m:r>
          <m:rPr>
            <m:sty m:val="p"/>
          </m:rPr>
          <m:t>+</m:t>
        </m:r>
        <m:r>
          <m:t>0</m:t>
        </m:r>
        <m:r>
          <m:rPr>
            <m:sty m:val="p"/>
          </m:rPr>
          <m:t>,</m:t>
        </m:r>
        <m:r>
          <m:t>201</m:t>
        </m:r>
      </m:oMath>
      <w:r>
        <w:t xml:space="preserve">) và Nhóm IV (</w:t>
      </w:r>
      <m:oMath>
        <m:r>
          <m:rPr>
            <m:sty m:val="p"/>
          </m:rPr>
          <m:t>+</m:t>
        </m:r>
        <m:r>
          <m:t>0</m:t>
        </m:r>
        <m:r>
          <m:rPr>
            <m:sty m:val="p"/>
          </m:rPr>
          <m:t>,</m:t>
        </m:r>
        <m:r>
          <m:t>180</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Tầng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2"/>
    <w:bookmarkStart w:id="173"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3"/>
    <w:bookmarkStart w:id="174" w:name="X290a7f495c2e39016b28fc732b8af6994f1e991"/>
    <w:p>
      <w:pPr>
        <w:pStyle w:val="Heading3"/>
      </w:pPr>
      <w:r>
        <w:t xml:space="preserve">4.1.8 Gradient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gradient mức hợp lệ giữa các nền kinh tế, nhất quán với lý thuyết thể chế theo đó thể chế mạnh kéo theo chi phí giao dịch thấp và biên lợi nhuận cao hơn. Cần lưu ý rằng gradient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gradient thể chế, từ 61,7% ở Nhóm I xuống 41,2% ở Nhóm V, phù hợp với khoảng cách hạ tầng số. Đáng chú ý nhất, tỷ lệ nữ trong quản trị cấp cao không theo gradient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4"/>
    <w:bookmarkEnd w:id="175"/>
    <w:bookmarkStart w:id="184" w:name="X793daa8b2eddd060588462e198e78f93f4f770d"/>
    <w:p>
      <w:pPr>
        <w:pStyle w:val="Heading2"/>
      </w:pPr>
      <w:r>
        <w:t xml:space="preserve">4.2 Kết quả tổng hợp định lượng: phân tích tổng hợp ba tầng (P6)</w:t>
      </w:r>
    </w:p>
    <w:bookmarkStart w:id="176" w:name="chỉ-số-hiệu-ứng-tổng-hợp"/>
    <w:p>
      <w:pPr>
        <w:pStyle w:val="Heading3"/>
      </w:pPr>
      <w:r>
        <w:t xml:space="preserve">4.2.1 Chỉ số hiệu ứng tổng hợp</w:t>
      </w:r>
    </w:p>
    <w:p>
      <w:pPr>
        <w:pStyle w:val="FirstParagraph"/>
      </w:pPr>
      <w:r>
        <w:t xml:space="preserve">Phân tích phân tích tổng hợp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các phân tích tổng hợp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76"/>
    <w:bookmarkStart w:id="177"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77"/>
    <w:bookmarkStart w:id="178"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gradient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gradient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78"/>
    <w:bookmarkStart w:id="179"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79"/>
    <w:bookmarkStart w:id="180"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Tổng hợp lại, bằng chứng lệch lạc công bố được xác nhận qua kiểm định Begg–Mazumdar có ý nghĩa (</w:t>
      </w:r>
      <m:oMath>
        <m:r>
          <m:t>p</m:t>
        </m:r>
        <m:r>
          <m:rPr>
            <m:sty m:val="p"/>
          </m:rPr>
          <m:t>=</m:t>
        </m:r>
        <m:r>
          <m:rPr>
            <m:sty m:val="p"/>
          </m:rPr>
          <m:t>,</m:t>
        </m:r>
        <m:r>
          <m:t>0007</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80"/>
    <w:bookmarkStart w:id="181"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đặc tả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1"/>
    <w:bookmarkStart w:id="182" w:name="X8198b4c56ba06d68298cd0153da499a39f189c6"/>
    <w:p>
      <w:pPr>
        <w:pStyle w:val="Heading3"/>
      </w:pPr>
      <w:r>
        <w:t xml:space="preserve">4.2.6 Gradient hiệu ứng theo nhóm thể chế và giới hạn của bằng chứng định hướng</w:t>
      </w:r>
    </w:p>
    <w:p>
      <w:pPr>
        <w:pStyle w:val="FirstParagraph"/>
      </w:pPr>
      <w:r>
        <w:t xml:space="preserve">Bảng hệ số gộp theo từng nhóm ICRV cho thấy một bức tranh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gradient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gradient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2"/>
    <w:bookmarkStart w:id="183"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475</m:t>
        </m:r>
      </m:oMath>
      <w:r>
        <w:t xml:space="preserve">,</w:t>
      </w:r>
      <w:r>
        <w:t xml:space="preserve"> </w:t>
      </w:r>
      <m:oMath>
        <m:r>
          <m:t>p</m:t>
        </m:r>
        <m:r>
          <m:rPr>
            <m:sty m:val="p"/>
          </m:rPr>
          <m:t>=</m:t>
        </m:r>
        <m:r>
          <m:rPr>
            <m:sty m:val="p"/>
          </m:rPr>
          <m:t>,</m:t>
        </m:r>
        <m:r>
          <m:t>057</m:t>
        </m:r>
      </m:oMath>
      <w:r>
        <w:t xml:space="preserve">) trong khi kiểm định thứ hạng Begg–Mazumdar lại có ý nghĩa (</w:t>
      </w:r>
      <m:oMath>
        <m:r>
          <m:t>τ</m:t>
        </m:r>
        <m:r>
          <m:rPr>
            <m:sty m:val="p"/>
          </m:rPr>
          <m:t>=</m:t>
        </m:r>
        <m:r>
          <m:rPr>
            <m:sty m:val="p"/>
          </m:rPr>
          <m:t>−</m:t>
        </m:r>
        <m:r>
          <m:t>0</m:t>
        </m:r>
        <m:r>
          <m:rPr>
            <m:sty m:val="p"/>
          </m:rPr>
          <m:t>,</m:t>
        </m:r>
        <m:r>
          <m:t>134</m:t>
        </m:r>
      </m:oMath>
      <w:r>
        <w:t xml:space="preserve">,</w:t>
      </w:r>
      <w:r>
        <w:t xml:space="preserve"> </w:t>
      </w:r>
      <m:oMath>
        <m:r>
          <m:t>p</m:t>
        </m:r>
        <m:r>
          <m:rPr>
            <m:sty m:val="p"/>
          </m:rPr>
          <m:t>=</m:t>
        </m:r>
        <m:r>
          <m:rPr>
            <m:sty m:val="p"/>
          </m:rPr>
          <m:t>,</m:t>
        </m:r>
        <m:r>
          <m:t>0007</m:t>
        </m:r>
      </m:oMath>
      <w:r>
        <w:t xml:space="preserve">), nên bằng chứng bất đối xứng dựa trên Egger đơn lẻ không được khẳng định. Quy trình cắt-và-điền (trim-and-fill) gán thêm 58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019</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Tổng hợp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3"/>
    <w:bookmarkEnd w:id="184"/>
    <w:bookmarkStart w:id="194" w:name="Xae571c1410747d630a72c4d12985bac375822ae"/>
    <w:p>
      <w:pPr>
        <w:pStyle w:val="Heading2"/>
      </w:pPr>
      <w:r>
        <w:t xml:space="preserve">4.3 Kết quả bối cảnh thể chế tiên tiến: Đổi mới: Singapore (P4)</w:t>
      </w:r>
    </w:p>
    <w:bookmarkStart w:id="185"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85"/>
    <w:bookmarkStart w:id="186"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Tầng 1 và Tầng 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86"/>
    <w:bookmarkStart w:id="187"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87"/>
    <w:bookmarkStart w:id="188"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188"/>
    <w:bookmarkStart w:id="189"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89"/>
    <w:bookmarkStart w:id="190"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90"/>
    <w:bookmarkStart w:id="191"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1"/>
    <w:bookmarkStart w:id="192"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đặc tả chính trên mẫu Singapore. Hạng cường độ xuất khẩu tuyến tính dương và có ý nghĩa cao ở mọi đặc tả,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đặc tả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đặc tả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w:r>
              <w:t xml:space="preserve">FSTS²</w:t>
            </w:r>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w:r>
              <w:t xml:space="preserve">FSTS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w:r>
              <w:t xml:space="preserve">FSTS²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đặc tả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2"/>
    <w:bookmarkStart w:id="193"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đặc tả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đặc tả OLS được giữ làm đặc tả chính. Tổng hợp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Tầng 2 sẵn có về mặt thể chế làm cơ chế mở rộng quy mô có điều kiện trở nên nhận diện được về thực nghiệm.</w:t>
      </w:r>
    </w:p>
    <w:p>
      <w:r>
        <w:pict>
          <v:rect style="width:0;height:1.5pt" o:hralign="center" o:hrstd="t" o:hr="t"/>
        </w:pict>
      </w:r>
    </w:p>
    <w:bookmarkEnd w:id="193"/>
    <w:bookmarkEnd w:id="194"/>
    <w:bookmarkStart w:id="203" w:name="Xabe361c2d5961cf19ce7ab2bd5d9bc6d758140a"/>
    <w:p>
      <w:pPr>
        <w:pStyle w:val="Heading2"/>
      </w:pPr>
      <w:r>
        <w:t xml:space="preserve">4.4 Kết quả bối cảnh thể chế trung bình cao: Trung Quốc, 2012–2024 (P5)</w:t>
      </w:r>
    </w:p>
    <w:bookmarkStart w:id="195"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doanh nghiệp. Điểm điểm uốn được ước lượng tại:</w:t>
      </w:r>
    </w:p>
    <w:p>
      <w:pPr>
        <w:numPr>
          <w:ilvl w:val="0"/>
          <w:numId w:val="1012"/>
        </w:numPr>
        <w:pStyle w:val="Compact"/>
      </w:pPr>
      <w:r>
        <w:rPr>
          <w:bCs/>
          <w:b/>
        </w:rPr>
        <w:t xml:space="preserve">Năm 2012</w:t>
      </w:r>
      <w:r>
        <w:t xml:space="preserve">: TP = 49,37% FSTS</w:t>
      </w:r>
    </w:p>
    <w:p>
      <w:pPr>
        <w:numPr>
          <w:ilvl w:val="0"/>
          <w:numId w:val="1012"/>
        </w:numPr>
        <w:pStyle w:val="Compact"/>
      </w:pPr>
      <w:r>
        <w:rPr>
          <w:bCs/>
          <w:b/>
        </w:rPr>
        <w:t xml:space="preserve">Năm 2024</w:t>
      </w:r>
      <w:r>
        <w:t xml:space="preserve">: TP = 47,19% FSTS</w:t>
      </w:r>
    </w:p>
    <w:p>
      <w:pPr>
        <w:numPr>
          <w:ilvl w:val="0"/>
          <w:numId w:val="101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95"/>
    <w:bookmarkStart w:id="196"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96"/>
    <w:bookmarkStart w:id="197"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197"/>
    <w:bookmarkStart w:id="198"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198"/>
    <w:bookmarkStart w:id="199"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199"/>
    <w:bookmarkStart w:id="200"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200"/>
    <w:bookmarkStart w:id="201"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1"/>
    <w:bookmarkStart w:id="202"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đặc tả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2"/>
    <w:bookmarkEnd w:id="203"/>
    <w:bookmarkStart w:id="215" w:name="Xdbd5cc67084304ba85b73781c0cb0c00b74055b"/>
    <w:p>
      <w:pPr>
        <w:pStyle w:val="Heading2"/>
      </w:pPr>
      <w:r>
        <w:t xml:space="preserve">4.5 Kết quả bối cảnh chuyển đổi bậc thấp–trung: Việt Nam (P3)</w:t>
      </w:r>
    </w:p>
    <w:bookmarkStart w:id="204"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4"/>
    <w:bookmarkStart w:id="205"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05"/>
    <w:bookmarkStart w:id="206"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06"/>
    <w:bookmarkStart w:id="207"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t>F</m:t>
        </m:r>
        <m:r>
          <m:t>S</m:t>
        </m:r>
        <m:r>
          <m:t>T</m:t>
        </m:r>
        <m:r>
          <m:t>S</m:t>
        </m:r>
        <m:r>
          <m:rPr>
            <m:sty m:val="p"/>
          </m:rPr>
          <m:t>×</m:t>
        </m:r>
        <m:r>
          <m:t>D</m:t>
        </m:r>
        <m:r>
          <m:t>A</m:t>
        </m:r>
        <m:r>
          <m:t>I</m:t>
        </m:r>
      </m:oMath>
      <w:r>
        <w:t xml:space="preserve"> </w:t>
      </w:r>
      <w:r>
        <w:t xml:space="preserve">(chỉ bao gồm Tầng 1 DAI do giới hạn đo lường WBES trong các làn sóng này) cho kết quả yếu dương nhưng không có ý nghĩa thống kê. Kết quả này có thể phản ánh hạn chế về đo lường: Tầng 1 DAI chỉ nắm bắt mức độ chấp nhận số bề mặt (website, email, online sales) chứ không đo lường được chiều sâu năng lực số. Với dữ liệu WBES Việt Nam chỉ cung cấp Tầng 1, không đủ phân biệt để phát hiện hiệu ứng điều tiết tinh tế hơn.</w:t>
      </w:r>
    </w:p>
    <w:bookmarkEnd w:id="207"/>
    <w:bookmarkStart w:id="208"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08"/>
    <w:bookmarkStart w:id="209"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09"/>
    <w:bookmarkStart w:id="210"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(H1a), chứ không phải độ cong cường độ trong nhóm doanh nghiệp xuất khẩu (H1b).</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10"/>
    <w:bookmarkStart w:id="211"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211"/>
    <w:bookmarkStart w:id="212"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đặc tả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2"/>
    <w:bookmarkStart w:id="213" w:name="X0255ade886bbb95bf7cfa8465e46ac63bac43a6"/>
    <w:p>
      <w:pPr>
        <w:pStyle w:val="Heading3"/>
      </w:pPr>
      <w:r>
        <w:t xml:space="preserve">4.5.10 Pin chặt độ vững: tách ngành, đặc tả bậc ba và batterie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đặc tả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đặc tả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đặc tả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3"/>
    <w:bookmarkStart w:id="214"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4"/>
    <w:bookmarkEnd w:id="215"/>
    <w:bookmarkStart w:id="227" w:name="X561afa853383c674354c1acb167a55cae3a018f"/>
    <w:p>
      <w:pPr>
        <w:pStyle w:val="Heading2"/>
      </w:pPr>
      <w:r>
        <w:t xml:space="preserve">4.6 Kết quả kiểm định toàn mẫu đa bối cảnh châu Á (P7)</w:t>
      </w:r>
    </w:p>
    <w:bookmarkStart w:id="216"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79.220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16"/>
    <w:bookmarkStart w:id="220"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18" name="Picture"/>
            <a:graphic>
              <a:graphicData uri="http://schemas.openxmlformats.org/drawingml/2006/picture">
                <pic:pic>
                  <pic:nvPicPr>
                    <pic:cNvPr descr="figures/fig_4_x_ip_curves_icrv_gradient.png" id="219" name="Picture"/>
                    <pic:cNvPicPr>
                      <a:picLocks noChangeArrowheads="1" noChangeAspect="1"/>
                    </pic:cNvPicPr>
                  </pic:nvPicPr>
                  <pic:blipFill>
                    <a:blip r:embed="rId217"/>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220"/>
    <w:bookmarkStart w:id="221" w:name="điều-tiết-bởi-tci-và-dai-trong-toàn-mẫu"/>
    <w:p>
      <w:pPr>
        <w:pStyle w:val="Heading3"/>
      </w:pPr>
      <w:r>
        <w:t xml:space="preserve">4.6.3 Điều tiết bởi TCI và DAI trong toàn mẫu</w:t>
      </w:r>
    </w:p>
    <w:p>
      <w:pPr>
        <w:numPr>
          <w:ilvl w:val="0"/>
          <w:numId w:val="101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Tầng 1 (hiện diện web), nơi công cụ số chưa đủ chiều sâu để uốn đường cong, trong khi hiệu ứng uốn mạnh ở Singapore gắn với năng lực số Tầng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221"/>
    <w:bookmarkStart w:id="222"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Đặc tả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(đặc tả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đặc tả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2"/>
    <w:bookmarkStart w:id="223"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gradient trơn. Nói cách khác, điều tiết thể chế là điều tiết về sự tồn tại của dạng hàm, không phải điều tiết về vị trí của một điểm uốn phổ quát.</w:t>
      </w:r>
    </w:p>
    <w:bookmarkEnd w:id="223"/>
    <w:bookmarkStart w:id="224"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lại,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gradient trơn mà như ba vùng rời rạc. Ở giữa gradient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tan rã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224"/>
    <w:bookmarkStart w:id="225"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chặt chẽ ở từng vùng dù được ước lượng trên các mẫu, công cụ khảo sát và đặc tả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mạnh rằng điểm uốn vùng giữa là một quy luật cấu trúc chứ không phải tạo tác của một mẫu đơn lẻ.</w:t>
      </w:r>
    </w:p>
    <w:p>
      <w:pPr>
        <w:pStyle w:val="BodyText"/>
      </w:pPr>
      <w:r>
        <w:t xml:space="preserve">Ở biên trên của gradient,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225"/>
    <w:bookmarkStart w:id="226"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gradient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(FSTS×TCI, FSTS²×TCI, FSTS×DAI, FSTS²×DAI):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Tầng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226"/>
    <w:bookmarkEnd w:id="227"/>
    <w:bookmarkStart w:id="239" w:name="X42f69945b56833cca239d45dc5864a7be6f74d7"/>
    <w:p>
      <w:pPr>
        <w:pStyle w:val="Heading2"/>
      </w:pPr>
      <w:r>
        <w:t xml:space="preserve">4.7 Kết quả trường hợp biên SIDS: Các nền kinh tế đảo nhỏ đang phát triển (P8)</w:t>
      </w:r>
    </w:p>
    <w:bookmarkStart w:id="228"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Mẫu phân tích, gồm các quan sát có đủ giá trị về năng suất lao động, cường độ xuất khẩu và tuổi doanh nghiệp, có tổng</w:t>
      </w:r>
      <w:r>
        <w:t xml:space="preserve"> </w:t>
      </w:r>
      <m:oMath>
        <m:r>
          <m:t>N</m:t>
        </m:r>
        <m:r>
          <m:rPr>
            <m:sty m:val="p"/>
          </m:rPr>
          <m:t>=</m:t>
        </m:r>
        <m:r>
          <m:t>959</m:t>
        </m:r>
      </m:oMath>
      <w:r>
        <w:t xml:space="preserve"> </w:t>
      </w:r>
      <w:r>
        <w:t xml:space="preserve">doanh nghiệp, trong đó chỉ 132 doanh nghiệp (13,8% mẫu) có xuất khẩu với cường độ dương. Cường độ xuất khẩu trung bình rất thấp, ở mức 0,048 (tức 4,8%),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28"/>
    <w:bookmarkStart w:id="232"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sự tan rã của dạng chữ U ngược</w:t>
      </w:r>
      <w:r>
        <w:t xml:space="preserve">. Trên mẫu đầy đủ tám nền kinh tế đảo nhỏ (gồm Timor-Leste;</w:t>
      </w:r>
      <w:r>
        <w:t xml:space="preserve"> </w:t>
      </w:r>
      <m:oMath>
        <m:r>
          <m:t>N</m:t>
        </m:r>
        <m:r>
          <m:rPr>
            <m:sty m:val="p"/>
          </m:rPr>
          <m:t>=</m:t>
        </m:r>
        <m:r>
          <m:t>1.916</m:t>
        </m:r>
      </m:oMath>
      <w:r>
        <w:t xml:space="preserve"> </w:t>
      </w:r>
      <w:r>
        <w:t xml:space="preserve">doanh nghiệp, tám cụm quốc gia),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553</m:t>
        </m:r>
      </m:oMath>
      <w:r>
        <w:t xml:space="preserve"> </w:t>
      </w:r>
      <w:r>
        <w:t xml:space="preserve">(</w:t>
      </w:r>
      <m:oMath>
        <m:sSub>
          <m:e>
            <m:r>
              <m:t>p</m:t>
            </m:r>
          </m:e>
          <m:sub>
            <m:r>
              <m:rPr>
                <m:nor/>
                <m:sty m:val="p"/>
              </m:rPr>
              <m:t>wild</m:t>
            </m:r>
          </m:sub>
        </m:sSub>
        <m:r>
          <m:rPr>
            <m:sty m:val="p"/>
          </m:rPr>
          <m:t>=</m:t>
        </m:r>
        <m:r>
          <m:rPr>
            <m:sty m:val="p"/>
          </m:rPr>
          <m:t>,</m:t>
        </m:r>
        <m:r>
          <m:t>21</m:t>
        </m:r>
      </m:oMath>
      <w:r>
        <w:t xml:space="preserve">) và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161</m:t>
        </m:r>
      </m:oMath>
      <w:r>
        <w:t xml:space="preserve"> </w:t>
      </w:r>
      <w:r>
        <w:t xml:space="preserve">(</w:t>
      </w:r>
      <m:oMath>
        <m:sSub>
          <m:e>
            <m:r>
              <m:t>p</m:t>
            </m:r>
          </m:e>
          <m:sub>
            <m:r>
              <m:rPr>
                <m:nor/>
                <m:sty m:val="p"/>
              </m:rPr>
              <m:t>wild</m:t>
            </m:r>
          </m:sub>
        </m:sSub>
        <m:r>
          <m:rPr>
            <m:sty m:val="p"/>
          </m:rPr>
          <m:t>=</m:t>
        </m:r>
        <m:r>
          <m:rPr>
            <m:sty m:val="p"/>
          </m:rPr>
          <m:t>,</m:t>
        </m:r>
        <m:r>
          <m:t>25</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đặc tả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844</m:t>
        </m:r>
      </m:oMath>
      <w:r>
        <w:t xml:space="preserve"> </w:t>
      </w:r>
      <w:r>
        <w:t xml:space="preserve">(</w:t>
      </w:r>
      <m:oMath>
        <m:sSub>
          <m:e>
            <m:r>
              <m:t>p</m:t>
            </m:r>
          </m:e>
          <m:sub>
            <m:r>
              <m:rPr>
                <m:nor/>
                <m:sty m:val="p"/>
              </m:rPr>
              <m:t>wild</m:t>
            </m:r>
          </m:sub>
        </m:sSub>
        <m:r>
          <m:rPr>
            <m:sty m:val="p"/>
          </m:rPr>
          <m:t>=</m:t>
        </m:r>
        <m:r>
          <m:rPr>
            <m:sty m:val="p"/>
          </m:rPr>
          <m:t>,</m:t>
        </m:r>
        <m:r>
          <m:t>07</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860</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141</m:t>
        </m:r>
      </m:oMath>
      <w:r>
        <w:t xml:space="preserve">,</w:t>
      </w:r>
      <w:r>
        <w:t xml:space="preserve"> </w:t>
      </w:r>
      <m:oMath>
        <m:sSub>
          <m:e>
            <m:r>
              <m:t>p</m:t>
            </m:r>
          </m:e>
          <m:sub>
            <m:r>
              <m:rPr>
                <m:nor/>
                <m:sty m:val="p"/>
              </m:rPr>
              <m:t>wild</m:t>
            </m:r>
          </m:sub>
        </m:sSub>
        <m:r>
          <m:rPr>
            <m:sty m:val="p"/>
          </m:rPr>
          <m:t>=</m:t>
        </m:r>
        <m:r>
          <m:rPr>
            <m:sty m:val="p"/>
          </m:rPr>
          <m:t>,</m:t>
        </m:r>
        <m:r>
          <m:t>04</m:t>
        </m:r>
      </m:oMath>
      <w:r>
        <w:t xml:space="preserve">) nhưng không khôi phục dạng chữ U ngược.</w:t>
      </w:r>
    </w:p>
    <w:p>
      <w:pPr>
        <w:pStyle w:val="CaptionedFigure"/>
      </w:pPr>
      <w:r>
        <w:drawing>
          <wp:inline>
            <wp:extent cx="5753100" cy="2575077"/>
            <wp:effectExtent b="0" l="0" r="0" t="0"/>
            <wp:docPr descr="Hình 4.7.1. Sự tan rã của chữ U ngượ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230" name="Picture"/>
            <a:graphic>
              <a:graphicData uri="http://schemas.openxmlformats.org/drawingml/2006/picture">
                <pic:pic>
                  <pic:nvPicPr>
                    <pic:cNvPr descr="figures/fig_4_7_1_sids_inversion.png" id="231" name="Picture"/>
                    <pic:cNvPicPr>
                      <a:picLocks noChangeArrowheads="1" noChangeAspect="1"/>
                    </pic:cNvPicPr>
                  </pic:nvPicPr>
                  <pic:blipFill>
                    <a:blip r:embed="rId229"/>
                    <a:stretch>
                      <a:fillRect/>
                    </a:stretch>
                  </pic:blipFill>
                  <pic:spPr bwMode="auto">
                    <a:xfrm>
                      <a:off x="0" y="0"/>
                      <a:ext cx="5753100" cy="2575077"/>
                    </a:xfrm>
                    <a:prstGeom prst="rect">
                      <a:avLst/>
                    </a:prstGeom>
                    <a:noFill/>
                    <a:ln w="9525">
                      <a:noFill/>
                      <a:headEnd/>
                      <a:tailEnd/>
                    </a:ln>
                  </pic:spPr>
                </pic:pic>
              </a:graphicData>
            </a:graphic>
          </wp:inline>
        </w:drawing>
      </w:r>
    </w:p>
    <w:p>
      <w:pPr>
        <w:pStyle w:val="ImageCaption"/>
      </w:pPr>
      <w:r>
        <w:t xml:space="preserve">Hình 4.7.1. Sự tan rã của chữ U ngược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chữ ký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sự tan rã của chữ U ngược</w:t>
      </w:r>
      <w:r>
        <w:t xml:space="preserve">; độ cong dương có điều kiện chỉ là một dấu hiệu gợi ý ở mức biên ý nghĩa.</w:t>
      </w:r>
    </w:p>
    <w:bookmarkEnd w:id="232"/>
    <w:bookmarkStart w:id="233"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233"/>
    <w:bookmarkStart w:id="234"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34"/>
    <w:bookmarkStart w:id="235"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35"/>
    <w:bookmarkStart w:id="236"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36"/>
    <w:bookmarkStart w:id="237" w:name="X1c195754a95259c712ac576e38ee1c5da4f052c"/>
    <w:p>
      <w:pPr>
        <w:pStyle w:val="Heading3"/>
      </w:pPr>
      <w:r>
        <w:t xml:space="preserve">4.7.7 Mô thức dấu của hệ số FIP qua các đặc tả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đặc tả,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237"/>
    <w:bookmarkStart w:id="238"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đặc tả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238"/>
    <w:bookmarkEnd w:id="239"/>
    <w:bookmarkStart w:id="248"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tan rã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Tầng 1 (trang web) chung cho cả ba đợt, WBES BREADY cung cấp thêm chỉ báo Tầng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Tầng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Tầng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40"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40"/>
    <w:bookmarkStart w:id="241"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wave</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wave</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wave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wave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41"/>
    <w:bookmarkStart w:id="242"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42"/>
    <w:bookmarkStart w:id="243"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đặc tả là tuyến tính thay vì bậc hai.</w:t>
      </w:r>
    </w:p>
    <w:p>
      <w:pPr>
        <w:pStyle w:val="BodyText"/>
      </w:pPr>
      <w:r>
        <w:t xml:space="preserve">Kết quả xác nhận ba mệnh đề. Thứ nhất, mức độ quốc tế hóa tác động âm lên hiệu quả ở đặc tả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43"/>
    <w:bookmarkStart w:id="244"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44"/>
    <w:bookmarkStart w:id="245"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tan rã vào 2025; đặc tả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45"/>
    <w:bookmarkStart w:id="246"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tan rã.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đặc tả (R1, R2, R3b, R4) xác nhận mô thức định tính chữ U ngược hiện diện 2014–2022 rồi biến mất 2025; đặc tả thứ năm (R3a) xác nhận hiện diện 2022 và biến mất 2025.</w:t>
      </w:r>
    </w:p>
    <w:bookmarkEnd w:id="246"/>
    <w:bookmarkStart w:id="247"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đặc tả chính. Đối với tương tác UPI Tầng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(Tầng 2 lấn át Tầng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47"/>
    <w:bookmarkEnd w:id="248"/>
    <w:bookmarkStart w:id="252"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49"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gradient thể chế: chữ U ngược ở các chế độ chuyển đổi, gần tuyến tính ở biên trên, tan rã ở biên dưới.</w:t>
      </w:r>
    </w:p>
    <w:bookmarkEnd w:id="249"/>
    <w:bookmarkStart w:id="250"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Tầng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50"/>
    <w:bookmarkStart w:id="251"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gradient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51"/>
    <w:bookmarkEnd w:id="252"/>
    <w:bookmarkStart w:id="253"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Tầng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53"/>
    <w:bookmarkStart w:id="254"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biến công cụ)</w:t>
            </w:r>
          </w:p>
        </w:tc>
        <w:tc>
          <w:tcPr/>
          <w:p>
            <w:pPr>
              <w:pStyle w:val="Compact"/>
              <w:jc w:val="left"/>
            </w:pPr>
            <w:r>
              <w:t xml:space="preserve">không có ý nghĩa (Tầng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(châu Á)</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1.916</w:t>
            </w:r>
          </w:p>
        </w:tc>
        <w:tc>
          <w:tcPr/>
          <w:p>
            <w:pPr>
              <w:pStyle w:val="Compact"/>
              <w:jc w:val="left"/>
            </w:pPr>
            <w:r>
              <w:t xml:space="preserve">chữ U ngược tan rã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Tầng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đặc tả).</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sự tan rã của chữ U ngược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không có ý nghĩa tại Việt Nam (Tầng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tan rã tại SIDS; FIP là trường hợp giới hạn</w:t>
            </w:r>
          </w:p>
        </w:tc>
        <w:tc>
          <w:tcPr/>
          <w:p>
            <w:pPr>
              <w:pStyle w:val="Compact"/>
              <w:jc w:val="left"/>
            </w:pPr>
            <w:r>
              <w:t xml:space="preserve">Ủng hộ theo hướng tan rã: trên mẫu đầy đủ tám nền (</w:t>
            </w:r>
            <m:oMath>
              <m:r>
                <m:t>N</m:t>
              </m:r>
              <m:r>
                <m:rPr>
                  <m:sty m:val="p"/>
                </m:rPr>
                <m:t>=</m:t>
              </m:r>
              <m:r>
                <m:t>1.916</m:t>
              </m:r>
            </m:oMath>
            <w:r>
              <w:t xml:space="preserve">, tám cụm) cả độ cong (</w:t>
            </w:r>
            <m:oMath>
              <m:r>
                <m:rPr>
                  <m:sty m:val="p"/>
                </m:rPr>
                <m:t>+</m:t>
              </m:r>
              <m:r>
                <m:t>0</m:t>
              </m:r>
              <m:r>
                <m:rPr>
                  <m:sty m:val="p"/>
                </m:rPr>
                <m:t>,</m:t>
              </m:r>
              <m:r>
                <m:t>553</m:t>
              </m:r>
            </m:oMath>
            <w:r>
              <w:t xml:space="preserve">,</w:t>
            </w:r>
            <w:r>
              <w:t xml:space="preserve"> </w:t>
            </w:r>
            <m:oMath>
              <m:sSub>
                <m:e>
                  <m:r>
                    <m:t>p</m:t>
                  </m:r>
                </m:e>
                <m:sub>
                  <m:r>
                    <m:rPr>
                      <m:nor/>
                      <m:sty m:val="p"/>
                    </m:rPr>
                    <m:t>wild</m:t>
                  </m:r>
                </m:sub>
              </m:sSub>
              <m:r>
                <m:rPr>
                  <m:sty m:val="p"/>
                </m:rPr>
                <m:t>=</m:t>
              </m:r>
              <m:r>
                <m:rPr>
                  <m:sty m:val="p"/>
                </m:rPr>
                <m:t>,</m:t>
              </m:r>
              <m:r>
                <m:t>21</m:t>
              </m:r>
            </m:oMath>
            <w:r>
              <w:t xml:space="preserve">) lẫn độ dốc (</w:t>
            </w:r>
            <m:oMath>
              <m:r>
                <m:rPr>
                  <m:sty m:val="p"/>
                </m:rPr>
                <m:t>−</m:t>
              </m:r>
              <m:r>
                <m:t>0</m:t>
              </m:r>
              <m:r>
                <m:rPr>
                  <m:sty m:val="p"/>
                </m:rPr>
                <m:t>,</m:t>
              </m:r>
              <m:r>
                <m:t>161</m:t>
              </m:r>
            </m:oMath>
            <w:r>
              <w:t xml:space="preserve">,</w:t>
            </w:r>
            <w:r>
              <w:t xml:space="preserve"> </w:t>
            </w:r>
            <m:oMath>
              <m:sSub>
                <m:e>
                  <m:r>
                    <m:t>p</m:t>
                  </m:r>
                </m:e>
                <m:sub>
                  <m:r>
                    <m:rPr>
                      <m:nor/>
                      <m:sty m:val="p"/>
                    </m:rPr>
                    <m:t>wild</m:t>
                  </m:r>
                </m:sub>
              </m:sSub>
              <m:r>
                <m:rPr>
                  <m:sty m:val="p"/>
                </m:rPr>
                <m:t>=</m:t>
              </m:r>
              <m:r>
                <m:rPr>
                  <m:sty m:val="p"/>
                </m:rPr>
                <m:t>,</m:t>
              </m:r>
              <m:r>
                <m:t>25</m:t>
              </m:r>
            </m:oMath>
            <w:r>
              <w:t xml:space="preserve">) đều không có ý nghĩa. Hệ số âm mạnh (</w:t>
            </w:r>
            <m:oMath>
              <m:r>
                <m:rPr>
                  <m:sty m:val="p"/>
                </m:rPr>
                <m:t>−</m:t>
              </m:r>
              <m:r>
                <m:t>1</m:t>
              </m:r>
              <m:r>
                <m:rPr>
                  <m:sty m:val="p"/>
                </m:rPr>
                <m:t>,</m:t>
              </m:r>
              <m:sSup>
                <m:e>
                  <m:r>
                    <m:t>339</m:t>
                  </m:r>
                </m:e>
                <m:sup>
                  <m:r>
                    <m:rPr>
                      <m:sty m:val="p"/>
                    </m:rPr>
                    <m:t>*</m:t>
                  </m:r>
                  <m:r>
                    <m:rPr>
                      <m:sty m:val="p"/>
                    </m:rPr>
                    <m:t>*</m:t>
                  </m:r>
                  <m:r>
                    <m:rPr>
                      <m:sty m:val="p"/>
                    </m:rPr>
                    <m:t>*</m:t>
                  </m:r>
                </m:sup>
              </m:sSup>
            </m:oMath>
            <w:r>
              <w:t xml:space="preserve"> </w:t>
            </w:r>
            <w:r>
              <w:t xml:space="preserve">M1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Tầng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54"/>
    <w:bookmarkStart w:id="255"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thị trường mới nổi: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55"/>
    <w:bookmarkStart w:id="256" w:name="chương-5-kết-luận-và-đề-xuất"/>
    <w:p>
      <w:pPr>
        <w:pStyle w:val="Heading1"/>
      </w:pPr>
      <w:r>
        <w:t xml:space="preserve">CHƯƠNG 5: KẾT LUẬN VÀ ĐỀ XUẤT</w:t>
      </w:r>
    </w:p>
    <w:bookmarkEnd w:id="256"/>
    <w:p>
      <w:r>
        <w:pict>
          <v:rect style="width:0;height:1.5pt" o:hralign="center" o:hrstd="t" o:hr="t"/>
        </w:pict>
      </w:r>
    </w:p>
    <w:bookmarkStart w:id="257"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57"/>
    <w:bookmarkStart w:id="265" w:name="Xff8cef3ed320f9cf6f3fba4ff558bfed3af19c6"/>
    <w:p>
      <w:pPr>
        <w:pStyle w:val="Heading2"/>
      </w:pPr>
      <w:r>
        <w:t xml:space="preserve">5.1 Bàn luận kết quả theo khung lý thuyết CDCM</w:t>
      </w:r>
    </w:p>
    <w:bookmarkStart w:id="258"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chế độ con ICRV, xác định điều kiện biên cho quan hệ quốc tế hóa và hiệu quả. lý thuyết thể chế của North (1990) và Khanna và Palepu (2010) dự đoán rằng thể chế định hình chi phí giao dịch và cấu trúc khuyến khích; kết quả ICRV gradient là biểu hiện thực nghiệm của cơ chế này ở quy mô 50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58"/>
    <w:bookmarkStart w:id="259"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59"/>
    <w:bookmarkStart w:id="260"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Tầng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Tầng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Tầng 1 DAI (website, email, online sales) chưa nắm bắt được chiều sâu của năng lực số. Khi DAI được đo bằng Tầng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60"/>
    <w:bookmarkStart w:id="261"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61"/>
    <w:bookmarkStart w:id="262"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Phát hiện vững trên mẫu đầy đủ tám nền kinh tế là</w:t>
      </w:r>
      <w:r>
        <w:t xml:space="preserve"> </w:t>
      </w:r>
      <w:r>
        <w:rPr>
          <w:bCs/>
          <w:b/>
        </w:rPr>
        <w:t xml:space="preserve">sự tan rã của dạng chữ U ngược</w:t>
      </w:r>
      <w:r>
        <w:t xml:space="preserve"> </w:t>
      </w:r>
      <w:r>
        <w:t xml:space="preserve">(cả độ cong lẫn độ dốc đều không có ý nghĩa thống kê), tương phản sắc nét với chữ U ngược của lục địa; FIP được hiểu như</w:t>
      </w:r>
      <w:r>
        <w:t xml:space="preserve"> </w:t>
      </w:r>
      <w:r>
        <w:rPr>
          <w:bCs/>
          <w:b/>
        </w:rPr>
        <w:t xml:space="preserve">trường hợp giới hạn lý thuyết</w:t>
      </w:r>
      <w:r>
        <w:t xml:space="preserve"> </w:t>
      </w:r>
      <w:r>
        <w:t xml:space="preserve">của sự tan rã này, tức chiều hướng mà quan hệ nghiêng về khi quốc tế hóa cưỡng bức chi phối hoàn toàn, chứ không phải một quan hệ âm đơn điệu đã được ước lượng vững. Dù theo hướng giới hạn hay theo bằng chứng tan rã,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2"/>
    <w:bookmarkStart w:id="263"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Tầng 2 thay thế Tầng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63"/>
    <w:bookmarkStart w:id="264" w:name="Xbffcbb2cefd87893b0a3903884b48c3b4587efe"/>
    <w:p>
      <w:pPr>
        <w:pStyle w:val="Heading3"/>
      </w:pPr>
      <w:r>
        <w:t xml:space="preserve">5.1.7 Tích hợp ba vùng của gradient thể chế: từ chữ U ngược đến tan rã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gradient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gradient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gradient (chế độ đang nổi và đảo nhỏ, Nhóm V và VI), quan hệ mất cấu trúc theo hai mức độ khác nhau. Tại Nhóm V, các hệ số không còn ý nghĩa thống kê và dạng hàm tan rã (P7). Tại Nhóm VI là các nền kinh tế đảo nhỏ, phát hiện vững là dạng chữ U ngược</w:t>
      </w:r>
      <w:r>
        <w:t xml:space="preserve"> </w:t>
      </w:r>
      <w:r>
        <w:rPr>
          <w:bCs/>
          <w:b/>
        </w:rPr>
        <w:t xml:space="preserve">tan rã</w:t>
      </w:r>
      <w:r>
        <w:t xml:space="preserve"> </w:t>
      </w:r>
      <w:r>
        <w:t xml:space="preserve">(cả độ cong lẫn độ dốc đều không có ý nghĩa trên mẫu đầy đủ tám nền),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gradient. Bằng chứng Việt Nam (P3) cho thấy độ cong toàn mẫu trong chế độ chuyển đổi được nhận diện chủ yếu qua biên tham gia, tức bước nhảy năng suất khi doanh nghiệp chuyển từ không xuất khẩu sang xuất khẩu (H1a), chứ không qua độ cong cường độ trong nhóm doanh nghiệp đã xuất khẩu (H1b);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64"/>
    <w:bookmarkEnd w:id="265"/>
    <w:bookmarkStart w:id="273" w:name="so-sánh-với-nghiên-cứu-trước-đây"/>
    <w:p>
      <w:pPr>
        <w:pStyle w:val="Heading2"/>
      </w:pPr>
      <w:r>
        <w:t xml:space="preserve">5.2 So sánh với nghiên cứu trước đây</w:t>
      </w:r>
    </w:p>
    <w:bookmarkStart w:id="266"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66"/>
    <w:bookmarkStart w:id="267"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tan rã</w:t>
      </w:r>
      <w:r>
        <w:t xml:space="preserve"> </w:t>
      </w:r>
      <w:r>
        <w:t xml:space="preserve">(không còn độ cong hay độ dốc có ý nghĩa) thay vì tuân theo đường cong chữ S hay chữ U ngược; FIP được nêu như trường hợp giới hạn lý thuyết của sự tan rã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267"/>
    <w:bookmarkStart w:id="268"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gradient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gradient mà thước đo nhị phân làm mất.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68"/>
    <w:bookmarkStart w:id="269"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tan rã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đặc tả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đặc tả. Hai đặc điểm này, kết hợp với tam giác hóa giữa phân tích tổng hợp và ước lượng gộp ở Mục 5.2.5, đặt cấu trúc ba vùng trên nền tảng xác nhận chéo chứ không phải trên tự do bậc đặc tả.</w:t>
      </w:r>
    </w:p>
    <w:bookmarkEnd w:id="269"/>
    <w:bookmarkStart w:id="270"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chế độ thể chế ICRV là biến điều tiết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70"/>
    <w:bookmarkStart w:id="271"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đặc tả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Nói cách khác,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71"/>
    <w:bookmarkStart w:id="272"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doanh nghiệp ở các nền kinh tế mới nổi, trong đó tính động công nghệ tạo tương tác dương còn tính động thị trường tạo tương tác âm. Bằng chứng gradient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72"/>
    <w:bookmarkEnd w:id="273"/>
    <w:bookmarkStart w:id="282" w:name="đóng-góp-lý-thuyết-1"/>
    <w:p>
      <w:pPr>
        <w:pStyle w:val="Heading2"/>
      </w:pPr>
      <w:r>
        <w:t xml:space="preserve">5.3 Đóng góp lý thuyết</w:t>
      </w:r>
    </w:p>
    <w:bookmarkStart w:id="274"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74"/>
    <w:bookmarkStart w:id="275"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+0,26 đến +0,43; toàn mẫu 50 nền +0,141; Nhật Bản +0,100; SIDS +0,299), trong khi các tương tác uốn đường cong với cường độ xuất khẩu không đạt ý nghĩa thống kê trên toàn mẫu và chỉ định hình ở một bối cảnh đơn quốc gia. Ngay cả tại SIDS, nơi quan hệ tổng thể là âm đơn điệu, năng lực công nghệ vẫn nâng mặt bằng năng suất nhưng không thể uốn độ dốc âm sang vùng dương,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75"/>
    <w:bookmarkStart w:id="276"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76"/>
    <w:bookmarkStart w:id="277"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gradient thể chế: chữ U ngược định hình rõ nhất ở vùng giữa (Nhóm IV, điểm uốn 43,0%), duỗi thẳng gần tuyến tính ở biên trên nơi thể chế mạnh đẩy điểm uốn ra mức cường độ xuất khẩu rất cao (Singapore khoảng 88,6%), và tan rã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77"/>
    <w:bookmarkStart w:id="278"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78"/>
    <w:bookmarkStart w:id="279"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tan rã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bức tranh liên tục từ chữ U ngược đến tan rã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279"/>
    <w:bookmarkStart w:id="280"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80"/>
    <w:bookmarkStart w:id="281"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81"/>
    <w:bookmarkEnd w:id="282"/>
    <w:bookmarkStart w:id="291"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83"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83"/>
    <w:bookmarkStart w:id="284"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4"/>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4"/>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4"/>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4"/>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84"/>
    <w:bookmarkStart w:id="285"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85"/>
    <w:bookmarkStart w:id="286"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Tầng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86"/>
    <w:bookmarkStart w:id="287"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tan rã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287"/>
    <w:bookmarkStart w:id="288"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tan rã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288"/>
    <w:bookmarkStart w:id="289"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89"/>
    <w:bookmarkStart w:id="290"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90"/>
    <w:bookmarkEnd w:id="291"/>
    <w:bookmarkStart w:id="301" w:name="hạn-chế-và-hướng-nghiên-cứu-tương-lai"/>
    <w:p>
      <w:pPr>
        <w:pStyle w:val="Heading2"/>
      </w:pPr>
      <w:r>
        <w:t xml:space="preserve">5.5 Hạn chế và hướng nghiên cứu tương lai</w:t>
      </w:r>
    </w:p>
    <w:bookmarkStart w:id="292"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Tầng 1 DAI (website, email, online sales) được sử dụng do hạn chế của các làn sóng 2009 và 2015, trong khi Tầng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292"/>
    <w:bookmarkStart w:id="293"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93"/>
    <w:bookmarkStart w:id="294"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294"/>
    <w:bookmarkStart w:id="295"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295"/>
    <w:bookmarkStart w:id="296"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296"/>
    <w:bookmarkStart w:id="297"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297"/>
    <w:bookmarkStart w:id="298"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gradient thể chế chứ không phải một thang đo chính xác tuyệt đối.</w:t>
      </w:r>
    </w:p>
    <w:bookmarkEnd w:id="298"/>
    <w:bookmarkStart w:id="299"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299"/>
    <w:bookmarkStart w:id="300"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(Tầng 2 và Tầng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gradient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gradient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gradient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300"/>
    <w:bookmarkEnd w:id="301"/>
    <w:bookmarkStart w:id="306" w:name="kết-luận"/>
    <w:p>
      <w:pPr>
        <w:pStyle w:val="Heading2"/>
      </w:pPr>
      <w:r>
        <w:t xml:space="preserve">5.6 Kết luận</w:t>
      </w:r>
    </w:p>
    <w:bookmarkStart w:id="302"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5"/>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5"/>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5"/>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5"/>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5"/>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5"/>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5"/>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tan rã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5"/>
        </w:numPr>
      </w:pPr>
      <w:r>
        <w:rPr>
          <w:bCs/>
          <w:b/>
        </w:rPr>
        <w:t xml:space="preserve">P8</w:t>
      </w:r>
      <w:r>
        <w:t xml:space="preserve">: phân tích các nền kinh tế đảo nhỏ đang phát triển Thái Bình Dương (mẫu đầy đủ tám nền gồm Timor-Leste,</w:t>
      </w:r>
      <w:r>
        <w:t xml:space="preserve"> </w:t>
      </w:r>
      <m:oMath>
        <m:r>
          <m:t>N</m:t>
        </m:r>
        <m:r>
          <m:rPr>
            <m:sty m:val="p"/>
          </m:rPr>
          <m:t>=</m:t>
        </m:r>
        <m:r>
          <m:t>1.916</m:t>
        </m:r>
      </m:oMath>
      <w:r>
        <w:t xml:space="preserve">, tám cụm), phát hiện vững là</w:t>
      </w:r>
      <w:r>
        <w:t xml:space="preserve"> </w:t>
      </w:r>
      <w:r>
        <w:rPr>
          <w:bCs/>
          <w:b/>
        </w:rPr>
        <w:t xml:space="preserve">sự tan rã của dạng chữ U ngược</w:t>
      </w:r>
      <w:r>
        <w:t xml:space="preserve"> </w:t>
      </w:r>
      <w:r>
        <w:t xml:space="preserve">— cả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553</m:t>
        </m:r>
      </m:oMath>
      <w:r>
        <w:t xml:space="preserve">,</w:t>
      </w:r>
      <w:r>
        <w:t xml:space="preserve"> </w:t>
      </w:r>
      <m:oMath>
        <m:sSub>
          <m:e>
            <m:r>
              <m:t>p</m:t>
            </m:r>
          </m:e>
          <m:sub>
            <m:r>
              <m:rPr>
                <m:nor/>
                <m:sty m:val="p"/>
              </m:rPr>
              <m:t>wild</m:t>
            </m:r>
          </m:sub>
        </m:sSub>
        <m:r>
          <m:rPr>
            <m:sty m:val="p"/>
          </m:rPr>
          <m:t>=</m:t>
        </m:r>
        <m:r>
          <m:rPr>
            <m:sty m:val="p"/>
          </m:rPr>
          <m:t>,</m:t>
        </m:r>
        <m:r>
          <m:t>21</m:t>
        </m:r>
      </m:oMath>
      <w:r>
        <w:t xml:space="preserve">) lẫn độ dốc (</w:t>
      </w:r>
      <m:oMath>
        <m:r>
          <m:rPr>
            <m:sty m:val="p"/>
          </m:rPr>
          <m:t>−</m:t>
        </m:r>
        <m:r>
          <m:t>0</m:t>
        </m:r>
        <m:r>
          <m:rPr>
            <m:sty m:val="p"/>
          </m:rPr>
          <m:t>,</m:t>
        </m:r>
        <m:r>
          <m:t>161</m:t>
        </m:r>
      </m:oMath>
      <w:r>
        <w:t xml:space="preserve">,</w:t>
      </w:r>
      <w:r>
        <w:t xml:space="preserve"> </w:t>
      </w:r>
      <m:oMath>
        <m:sSub>
          <m:e>
            <m:r>
              <m:t>p</m:t>
            </m:r>
          </m:e>
          <m:sub>
            <m:r>
              <m:rPr>
                <m:nor/>
                <m:sty m:val="p"/>
              </m:rPr>
              <m:t>wild</m:t>
            </m:r>
          </m:sub>
        </m:sSub>
        <m:r>
          <m:rPr>
            <m:sty m:val="p"/>
          </m:rPr>
          <m:t>=</m:t>
        </m:r>
        <m:r>
          <m:rPr>
            <m:sty m:val="p"/>
          </m:rPr>
          <m:t>,</m:t>
        </m:r>
        <m:r>
          <m:t>25</m:t>
        </m:r>
      </m:oMath>
      <w:r>
        <w:t xml:space="preserve">) đều không có ý nghĩa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15"/>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Tầng 2 (UPI) âm, bằng chứng đầu tiên rằng chuyển đổi thể chế cực mạnh có thể hòa tan chứ không chỉ dịch chuyển ngưỡng.</w:t>
      </w:r>
    </w:p>
    <w:p>
      <w:pPr>
        <w:numPr>
          <w:ilvl w:val="0"/>
          <w:numId w:val="1015"/>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5"/>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302"/>
    <w:bookmarkStart w:id="303"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gradient thể chế (Nhóm IV, điểm uốn khoảng 43%), duỗi thẳng gần tuyến tính ở biên trên nơi thể chế mạnh đẩy điểm uốn ra mức cường độ xuất khẩu rất cao (Singapore khoảng 88,6%, gần hoặc vượt biên dữ liệu quan sát), và tan rã ở biên dưới nơi thể chế yếu nhất; nghĩa là thể chế càng mạnh, doanh nghiệp càng duy trì lợi ích từ quốc tế hóa đến mức cường độ cao hơn trước khi đạt đỉnh.</w:t>
      </w:r>
    </w:p>
    <w:bookmarkEnd w:id="303"/>
    <w:bookmarkStart w:id="304"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304"/>
    <w:bookmarkStart w:id="305"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305"/>
    <w:bookmarkEnd w:id="306"/>
    <w:bookmarkStart w:id="307"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et al. (2025) JBR: hiện chưa verify được volume/pages — cần kiểm tra Crossref hoặc loại bỏ.</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07"/>
    <w:bookmarkStart w:id="318"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08"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08"/>
    <w:bookmarkStart w:id="309"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09"/>
    <w:bookmarkStart w:id="310"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mô tả 50 nền =</w:t>
            </w:r>
            <w:r>
              <w:t xml:space="preserve"> </w:t>
            </w:r>
            <w:r>
              <w:rPr>
                <w:bCs/>
                <w:b/>
              </w:rPr>
              <w:t xml:space="preserve">88.869</w:t>
            </w:r>
            <w:r>
              <w:t xml:space="preserve"> </w:t>
            </w:r>
            <w:r>
              <w:t xml:space="preserve">DN / 103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10"/>
    <w:bookmarkStart w:id="311"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16"/>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6"/>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6"/>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6"/>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11"/>
    <w:bookmarkStart w:id="312"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17"/>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17"/>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12"/>
    <w:bookmarkStart w:id="313"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13"/>
    <w:bookmarkStart w:id="314"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14"/>
    <w:bookmarkStart w:id="315"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15"/>
    <w:bookmarkStart w:id="316"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316"/>
    <w:bookmarkStart w:id="317"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18"/>
        </w:numPr>
        <w:pStyle w:val="Compact"/>
      </w:pPr>
      <w:r>
        <w:rPr>
          <w:rStyle w:val="VerbatimChar"/>
        </w:rPr>
        <w:t xml:space="preserve">scripts/build_pooled_dataset.py</w:t>
      </w:r>
    </w:p>
    <w:p>
      <w:pPr>
        <w:numPr>
          <w:ilvl w:val="0"/>
          <w:numId w:val="1018"/>
        </w:numPr>
        <w:pStyle w:val="Compact"/>
      </w:pPr>
      <w:r>
        <w:rPr>
          <w:rStyle w:val="VerbatimChar"/>
        </w:rPr>
        <w:t xml:space="preserve">scripts/wbes_canon.py</w:t>
      </w:r>
    </w:p>
    <w:p>
      <w:pPr>
        <w:numPr>
          <w:ilvl w:val="0"/>
          <w:numId w:val="1018"/>
        </w:numPr>
        <w:pStyle w:val="Compact"/>
      </w:pPr>
      <w:r>
        <w:rPr>
          <w:rStyle w:val="VerbatimChar"/>
        </w:rPr>
        <w:t xml:space="preserve">scripts/cd1_descriptives_pipeline.py</w:t>
      </w:r>
    </w:p>
    <w:p>
      <w:pPr>
        <w:numPr>
          <w:ilvl w:val="0"/>
          <w:numId w:val="1018"/>
        </w:numPr>
        <w:pStyle w:val="Compact"/>
      </w:pPr>
      <w:r>
        <w:rPr>
          <w:rStyle w:val="VerbatimChar"/>
        </w:rPr>
        <w:t xml:space="preserve">data_wbes/analysis/pooled_dataflow.csv</w:t>
      </w:r>
    </w:p>
    <w:p>
      <w:pPr>
        <w:numPr>
          <w:ilvl w:val="0"/>
          <w:numId w:val="1018"/>
        </w:numPr>
        <w:pStyle w:val="Compact"/>
      </w:pPr>
      <w:r>
        <w:rPr>
          <w:rStyle w:val="VerbatimChar"/>
        </w:rPr>
        <w:t xml:space="preserve">DATA_UPDATE_MANIFEST.md</w:t>
      </w:r>
    </w:p>
    <w:p>
      <w:pPr>
        <w:numPr>
          <w:ilvl w:val="0"/>
          <w:numId w:val="1018"/>
        </w:numPr>
        <w:pStyle w:val="Compact"/>
      </w:pPr>
      <w:r>
        <w:rPr>
          <w:rStyle w:val="VerbatimChar"/>
        </w:rPr>
        <w:t xml:space="preserve">CANONICAL_RECONCILIATION.md</w:t>
      </w:r>
    </w:p>
    <w:p>
      <w:r>
        <w:br w:type="page"/>
      </w:r>
    </w:p>
    <w:bookmarkEnd w:id="317"/>
    <w:bookmarkEnd w:id="31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49" Target="media/rId149.png" /><Relationship Type="http://schemas.openxmlformats.org/officeDocument/2006/relationships/image" Id="rId146" Target="media/rId146.png" /><Relationship Type="http://schemas.openxmlformats.org/officeDocument/2006/relationships/image" Id="rId166" Target="media/rId166.png" /><Relationship Type="http://schemas.openxmlformats.org/officeDocument/2006/relationships/image" Id="rId153" Target="media/rId153.png" /><Relationship Type="http://schemas.openxmlformats.org/officeDocument/2006/relationships/image" Id="rId157" Target="media/rId157.png" /><Relationship Type="http://schemas.openxmlformats.org/officeDocument/2006/relationships/image" Id="rId229" Target="media/rId229.png" /><Relationship Type="http://schemas.openxmlformats.org/officeDocument/2006/relationships/image" Id="rId169" Target="media/rId169.png" /><Relationship Type="http://schemas.openxmlformats.org/officeDocument/2006/relationships/image" Id="rId217" Target="media/rId217.png" /><Relationship Type="http://schemas.openxmlformats.org/officeDocument/2006/relationships/image" Id="rId163" Target="media/rId16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2026-06-19T09:34:45Z</dcterms:created>
  <dcterms:modified xsi:type="dcterms:W3CDTF">2026-06-19T09:34:45Z</dcterms:modified>
</cp:coreProperties>
</file>

<file path=docProps/custom.xml><?xml version="1.0" encoding="utf-8"?>
<Properties xmlns="http://schemas.openxmlformats.org/officeDocument/2006/custom-properties" xmlns:vt="http://schemas.openxmlformats.org/officeDocument/2006/docPropsVTypes"/>
</file>