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Override PartName="/word/media/rId42.png" ContentType="image/png"/>
  <Override PartName="/word/media/rId29.png" ContentType="image/png"/>
  <Override PartName="/word/media/rId33.png" ContentType="image/png"/>
  <Override PartName="/word/media/rId105.png" ContentType="image/png"/>
  <Override PartName="/word/media/rId45.png" ContentType="image/png"/>
  <Override PartName="/word/media/rId93.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51" w:name="Xed285cd0261846a13dee28de69c0403b250498d"/>
    <w:p>
      <w:pPr>
        <w:pStyle w:val="Heading2"/>
      </w:pPr>
      <w:r>
        <w:t xml:space="preserve">4.1 Thực trạng quốc tế hóa và hiệu quả hoạt động kinh doanh tại châu Á</w:t>
      </w:r>
    </w:p>
    <w:bookmarkStart w:id="28"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(mẫu gộp WBES 2006–2026;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trung bình cao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đang nổi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được phân loại vào sáu nhóm ICRV trong mẫu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23" name="Picture"/>
            <a:graphic>
              <a:graphicData uri="http://schemas.openxmlformats.org/drawingml/2006/picture">
                <pic:pic>
                  <pic:nvPicPr>
                    <pic:cNvPr descr="figures/fig_4_1_pool_composition.png" id="24" name="Picture"/>
                    <pic:cNvPicPr>
                      <a:picLocks noChangeArrowheads="1" noChangeAspect="1"/>
                    </pic:cNvPicPr>
                  </pic:nvPicPr>
                  <pic:blipFill>
                    <a:blip r:embed="rId22"/>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26" name="Picture"/>
            <a:graphic>
              <a:graphicData uri="http://schemas.openxmlformats.org/drawingml/2006/picture">
                <pic:pic>
                  <pic:nvPicPr>
                    <pic:cNvPr descr="figures/fig_4_0_pool_by_year.png" id="27" name="Picture"/>
                    <pic:cNvPicPr>
                      <a:picLocks noChangeArrowheads="1" noChangeAspect="1"/>
                    </pic:cNvPicPr>
                  </pic:nvPicPr>
                  <pic:blipFill>
                    <a:blip r:embed="rId25"/>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28"/>
    <w:bookmarkStart w:id="32"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(trung bình cao), với mức trung bình khu vực khoảng 8,8%.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30" name="Picture"/>
            <a:graphic>
              <a:graphicData uri="http://schemas.openxmlformats.org/drawingml/2006/picture">
                <pic:pic>
                  <pic:nvPicPr>
                    <pic:cNvPr descr="figures/fig_4_4_growth_pathway.png" id="31" name="Picture"/>
                    <pic:cNvPicPr>
                      <a:picLocks noChangeArrowheads="1" noChangeAspect="1"/>
                    </pic:cNvPicPr>
                  </pic:nvPicPr>
                  <pic:blipFill>
                    <a:blip r:embed="rId29"/>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32"/>
    <w:bookmarkStart w:id="36"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nơi dạng chữ U ngược tan rã hoàn toàn (FIP là trường hợp giới hạn lý thuyết).</w:t>
      </w:r>
    </w:p>
    <w:p>
      <w:pPr>
        <w:pStyle w:val="BodyText"/>
      </w:pPr>
      <w:r>
        <w:t xml:space="preserve">Một biểu hiện khác của bão hòa Tầng 1 nằm ở tương quan giữa website và năng suất: phần bù tương quan của DAI Tầng 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34" name="Picture"/>
            <a:graphic>
              <a:graphicData uri="http://schemas.openxmlformats.org/drawingml/2006/picture">
                <pic:pic>
                  <pic:nvPicPr>
                    <pic:cNvPr descr="figures/fig_4_6_firm_size.png" id="35" name="Picture"/>
                    <pic:cNvPicPr>
                      <a:picLocks noChangeArrowheads="1" noChangeAspect="1"/>
                    </pic:cNvPicPr>
                  </pic:nvPicPr>
                  <pic:blipFill>
                    <a:blip r:embed="rId33"/>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36"/>
    <w:bookmarkStart w:id="37"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37"/>
    <w:bookmarkStart w:id="38"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38"/>
    <w:bookmarkStart w:id="48" w:name="Xa7d4e14564d57b0a9bb7f3939becc5ff181d680"/>
    <w:p>
      <w:pPr>
        <w:pStyle w:val="Heading3"/>
      </w:pPr>
      <w:r>
        <w:t xml:space="preserve">4.1.6 So sánh xuyên nhóm ICRV: gradient tương quan và độ phân tán hiệu quả</w:t>
      </w:r>
    </w:p>
    <w:p>
      <w:pPr>
        <w:pStyle w:val="FirstParagraph"/>
      </w:pPr>
      <w:r>
        <w:t xml:space="preserve">Khi đặt cạnh nhau toàn bộ các chỉ báo mô tả theo sáu nhóm ICRV, một bức tranh có cấu trúc nổi lên trong đó cường độ và đôi khi cả dấu của các tương quan thô biến thiên theo chiều suy yếu của thể chế. Hệ số tương quan Pearson giữa năng suất lao động chuẩn hóa và cường độ quốc tế hóa giảm đơn điệu theo gradient thể chế: từ</w:t>
      </w:r>
      <w:r>
        <w:t xml:space="preserve"> </w:t>
      </w:r>
      <m:oMath>
        <m:r>
          <m:rPr>
            <m:sty m:val="p"/>
          </m:rPr>
          <m:t>+</m:t>
        </m:r>
        <m:r>
          <m:t>0</m:t>
        </m:r>
        <m:r>
          <m:rPr>
            <m:sty m:val="p"/>
          </m:rPr>
          <m:t>,</m:t>
        </m:r>
        <m:r>
          <m:t>139</m:t>
        </m:r>
      </m:oMath>
      <w:r>
        <w:t xml:space="preserve"> </w:t>
      </w:r>
      <w:r>
        <w:t xml:space="preserve">ở Nhóm I, qua</w:t>
      </w:r>
      <w:r>
        <w:t xml:space="preserve"> </w:t>
      </w:r>
      <m:oMath>
        <m:r>
          <m:rPr>
            <m:sty m:val="p"/>
          </m:rPr>
          <m:t>+</m:t>
        </m:r>
        <m:r>
          <m:t>0</m:t>
        </m:r>
        <m:r>
          <m:rPr>
            <m:sty m:val="p"/>
          </m:rPr>
          <m:t>,</m:t>
        </m:r>
        <m:r>
          <m:t>131</m:t>
        </m:r>
      </m:oMath>
      <w:r>
        <w:t xml:space="preserve"> </w:t>
      </w:r>
      <w:r>
        <w:t xml:space="preserve">ở Nhóm II,</w:t>
      </w:r>
      <w:r>
        <w:t xml:space="preserve"> </w:t>
      </w:r>
      <m:oMath>
        <m:r>
          <m:rPr>
            <m:sty m:val="p"/>
          </m:rPr>
          <m:t>+</m:t>
        </m:r>
        <m:r>
          <m:t>0</m:t>
        </m:r>
        <m:r>
          <m:rPr>
            <m:sty m:val="p"/>
          </m:rPr>
          <m:t>,</m:t>
        </m:r>
        <m:r>
          <m:t>094</m:t>
        </m:r>
      </m:oMath>
      <w:r>
        <w:t xml:space="preserve"> </w:t>
      </w:r>
      <w:r>
        <w:t xml:space="preserve">ở Nhóm III,</w:t>
      </w:r>
      <w:r>
        <w:t xml:space="preserve"> </w:t>
      </w:r>
      <m:oMath>
        <m:r>
          <m:rPr>
            <m:sty m:val="p"/>
          </m:rPr>
          <m:t>+</m:t>
        </m:r>
        <m:r>
          <m:t>0</m:t>
        </m:r>
        <m:r>
          <m:rPr>
            <m:sty m:val="p"/>
          </m:rPr>
          <m:t>,</m:t>
        </m:r>
        <m:r>
          <m:t>047</m:t>
        </m:r>
      </m:oMath>
      <w:r>
        <w:t xml:space="preserve"> </w:t>
      </w:r>
      <w:r>
        <w:t xml:space="preserve">ở Nhóm IV,</w:t>
      </w:r>
      <w:r>
        <w:t xml:space="preserve"> </w:t>
      </w:r>
      <m:oMath>
        <m:r>
          <m:rPr>
            <m:sty m:val="p"/>
          </m:rPr>
          <m:t>+</m:t>
        </m:r>
        <m:r>
          <m:t>0</m:t>
        </m:r>
        <m:r>
          <m:rPr>
            <m:sty m:val="p"/>
          </m:rPr>
          <m:t>,</m:t>
        </m:r>
        <m:r>
          <m:t>018</m:t>
        </m:r>
      </m:oMath>
      <w:r>
        <w:t xml:space="preserve"> </w:t>
      </w:r>
      <w:r>
        <w:t xml:space="preserve">ở Nhóm V, rồi mất ý nghĩa thống kê và đổi dấu ở SIDS (</w:t>
      </w:r>
      <m:oMath>
        <m:r>
          <m:rPr>
            <m:sty m:val="p"/>
          </m:rPr>
          <m:t>−</m:t>
        </m:r>
        <m:r>
          <m:t>0</m:t>
        </m:r>
        <m:r>
          <m:rPr>
            <m:sty m:val="p"/>
          </m:rPr>
          <m:t>,</m:t>
        </m:r>
        <m:r>
          <m:t>009</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ngoại lệ duy nhất về dấu,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Gradient năng lực công nghệ theo sáu nhóm ICRV" title="" id="40" name="Picture"/>
            <a:graphic>
              <a:graphicData uri="http://schemas.openxmlformats.org/drawingml/2006/picture">
                <pic:pic>
                  <pic:nvPicPr>
                    <pic:cNvPr descr="figures/fig_icrv_capability_gradient.png" id="41" name="Picture"/>
                    <pic:cNvPicPr>
                      <a:picLocks noChangeArrowheads="1" noChangeAspect="1"/>
                    </pic:cNvPicPr>
                  </pic:nvPicPr>
                  <pic:blipFill>
                    <a:blip r:embed="rId39"/>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Gradient năng lực công nghệ theo sáu nhóm ICRV</w:t>
      </w:r>
    </w:p>
    <w:p>
      <w:pPr>
        <w:pStyle w:val="BodyText"/>
      </w:pPr>
      <w:r>
        <w:t xml:space="preserve">Ngược với gradient của quốc tế hóa, năng lực công nghệ là yếu tố tương quan mạnh và đồng đều nhất ở mọi nhóm, dao động từ</w:t>
      </w:r>
      <w:r>
        <w:t xml:space="preserve"> </w:t>
      </w:r>
      <m:oMath>
        <m:r>
          <m:rPr>
            <m:sty m:val="p"/>
          </m:rPr>
          <m:t>+</m:t>
        </m:r>
        <m:r>
          <m:t>0</m:t>
        </m:r>
        <m:r>
          <m:rPr>
            <m:sty m:val="p"/>
          </m:rPr>
          <m:t>,</m:t>
        </m:r>
        <m:r>
          <m:t>117</m:t>
        </m:r>
      </m:oMath>
      <w:r>
        <w:t xml:space="preserve"> </w:t>
      </w:r>
      <w:r>
        <w:t xml:space="preserve">ở SIDS đến</w:t>
      </w:r>
      <w:r>
        <w:t xml:space="preserve"> </w:t>
      </w:r>
      <m:oMath>
        <m:r>
          <m:rPr>
            <m:sty m:val="p"/>
          </m:rPr>
          <m:t>+</m:t>
        </m:r>
        <m:r>
          <m:t>0</m:t>
        </m:r>
        <m:r>
          <m:rPr>
            <m:sty m:val="p"/>
          </m:rPr>
          <m:t>,</m:t>
        </m:r>
        <m:r>
          <m:t>240</m:t>
        </m:r>
      </m:oMath>
      <w:r>
        <w:t xml:space="preserve"> </w:t>
      </w:r>
      <w:r>
        <w:t xml:space="preserve">ở Nhóm III,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104</m:t>
        </m:r>
      </m:oMath>
      <w:r>
        <w:t xml:space="preserve"> </w:t>
      </w:r>
      <w:r>
        <w:t xml:space="preserve">và SIDS</w:t>
      </w:r>
      <w:r>
        <w:t xml:space="preserve"> </w:t>
      </w:r>
      <m:oMath>
        <m:r>
          <m:rPr>
            <m:sty m:val="p"/>
          </m:rPr>
          <m:t>+</m:t>
        </m:r>
        <m:r>
          <m:t>0</m:t>
        </m:r>
        <m:r>
          <m:rPr>
            <m:sty m:val="p"/>
          </m:rPr>
          <m:t>,</m:t>
        </m:r>
        <m:r>
          <m:t>122</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43" name="Picture"/>
            <a:graphic>
              <a:graphicData uri="http://schemas.openxmlformats.org/drawingml/2006/picture">
                <pic:pic>
                  <pic:nvPicPr>
                    <pic:cNvPr descr="figures/fig_4_2_productivity_density.png" id="44" name="Picture"/>
                    <pic:cNvPicPr>
                      <a:picLocks noChangeArrowheads="1" noChangeAspect="1"/>
                    </pic:cNvPicPr>
                  </pic:nvPicPr>
                  <pic:blipFill>
                    <a:blip r:embed="rId42"/>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gradient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4</m:t>
        </m:r>
      </m:oMath>
      <w:r>
        <w:t xml:space="preserve"> </w:t>
      </w:r>
      <w:r>
        <w:t xml:space="preserve">lần ở Nhóm I lên</w:t>
      </w:r>
      <w:r>
        <w:t xml:space="preserve"> </w:t>
      </w:r>
      <m:oMath>
        <m:r>
          <m:t>5</m:t>
        </m:r>
        <m:r>
          <m:rPr>
            <m:sty m:val="p"/>
          </m:rPr>
          <m:t>,</m:t>
        </m:r>
        <m:r>
          <m:t>8</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46" name="Picture"/>
            <a:graphic>
              <a:graphicData uri="http://schemas.openxmlformats.org/drawingml/2006/picture">
                <pic:pic>
                  <pic:nvPicPr>
                    <pic:cNvPr descr="figures/fig_4_7_spider_chart.png" id="47" name="Picture"/>
                    <pic:cNvPicPr>
                      <a:picLocks noChangeArrowheads="1" noChangeAspect="1"/>
                    </pic:cNvPicPr>
                  </pic:nvPicPr>
                  <pic:blipFill>
                    <a:blip r:embed="rId45"/>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090</m:t>
        </m:r>
      </m:oMath>
      <w:r>
        <w:t xml:space="preserve">), trong khi cao nhất ở Nhóm II (</w:t>
      </w:r>
      <m:oMath>
        <m:r>
          <m:rPr>
            <m:sty m:val="p"/>
          </m:rPr>
          <m:t>+</m:t>
        </m:r>
        <m:r>
          <m:t>0</m:t>
        </m:r>
        <m:r>
          <m:rPr>
            <m:sty m:val="p"/>
          </m:rPr>
          <m:t>,</m:t>
        </m:r>
        <m:r>
          <m:t>201</m:t>
        </m:r>
      </m:oMath>
      <w:r>
        <w:t xml:space="preserve">) và Nhóm IV (</w:t>
      </w:r>
      <m:oMath>
        <m:r>
          <m:rPr>
            <m:sty m:val="p"/>
          </m:rPr>
          <m:t>+</m:t>
        </m:r>
        <m:r>
          <m:t>0</m:t>
        </m:r>
        <m:r>
          <m:rPr>
            <m:sty m:val="p"/>
          </m:rPr>
          <m:t>,</m:t>
        </m:r>
        <m:r>
          <m:t>180</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48"/>
    <w:bookmarkStart w:id="49"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49"/>
    <w:bookmarkStart w:id="50" w:name="X290a7f495c2e39016b28fc732b8af6994f1e991"/>
    <w:p>
      <w:pPr>
        <w:pStyle w:val="Heading3"/>
      </w:pPr>
      <w:r>
        <w:t xml:space="preserve">4.1.8 Gradient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gradient mức hợp lệ giữa các nền kinh tế, nhất quán với lý thuyết thể chế theo đó thể chế mạnh kéo theo chi phí giao dịch thấp và biên lợi nhuận cao hơn. Cần lưu ý rằng gradient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gradient thể chế, từ 61,7% ở Nhóm I xuống 41,2% ở Nhóm V, phù hợp với khoảng cách hạ tầng số. Đáng chú ý nhất, tỷ lệ nữ trong quản trị cấp cao không theo gradient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50"/>
    <w:bookmarkEnd w:id="51"/>
    <w:bookmarkStart w:id="60" w:name="X793daa8b2eddd060588462e198e78f93f4f770d"/>
    <w:p>
      <w:pPr>
        <w:pStyle w:val="Heading2"/>
      </w:pPr>
      <w:r>
        <w:t xml:space="preserve">4.2 Kết quả tổng hợp định lượng: phân tích tổng hợp ba tầng (P6)</w:t>
      </w:r>
    </w:p>
    <w:bookmarkStart w:id="52"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52"/>
    <w:bookmarkStart w:id="53"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53"/>
    <w:bookmarkStart w:id="54"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gradient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gradient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54"/>
    <w:bookmarkStart w:id="55"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55"/>
    <w:bookmarkStart w:id="56"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0007</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56"/>
    <w:bookmarkStart w:id="57"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57"/>
    <w:bookmarkStart w:id="58" w:name="X8198b4c56ba06d68298cd0153da499a39f189c6"/>
    <w:p>
      <w:pPr>
        <w:pStyle w:val="Heading3"/>
      </w:pPr>
      <w:r>
        <w:t xml:space="preserve">4.2.6 Gradient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gradient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gradient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58"/>
    <w:bookmarkStart w:id="59"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475</m:t>
        </m:r>
      </m:oMath>
      <w:r>
        <w:t xml:space="preserve">,</w:t>
      </w:r>
      <w:r>
        <w:t xml:space="preserve"> </w:t>
      </w:r>
      <m:oMath>
        <m:r>
          <m:t>p</m:t>
        </m:r>
        <m:r>
          <m:rPr>
            <m:sty m:val="p"/>
          </m:rPr>
          <m:t>=</m:t>
        </m:r>
        <m:r>
          <m:rPr>
            <m:sty m:val="p"/>
          </m:rPr>
          <m:t>,</m:t>
        </m:r>
        <m:r>
          <m:t>057</m:t>
        </m:r>
      </m:oMath>
      <w:r>
        <w:t xml:space="preserve">) trong khi kiểm định thứ hạng Begg–Mazumdar lại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nên bằng chứng bất đối xứng dựa trên Egger đơn lẻ không được khẳng định. Quy trình cắt-và-điền (trim-and-fill) gán thêm 58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019</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59"/>
    <w:bookmarkEnd w:id="60"/>
    <w:bookmarkStart w:id="70" w:name="Xae571c1410747d630a72c4d12985bac375822ae"/>
    <w:p>
      <w:pPr>
        <w:pStyle w:val="Heading2"/>
      </w:pPr>
      <w:r>
        <w:t xml:space="preserve">4.3 Kết quả bối cảnh thể chế tiên tiến: Đổi mới: Singapore (P4)</w:t>
      </w:r>
    </w:p>
    <w:bookmarkStart w:id="61"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61"/>
    <w:bookmarkStart w:id="62"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Tầng 1 và Tầng 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62"/>
    <w:bookmarkStart w:id="63"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63"/>
    <w:bookmarkStart w:id="64"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64"/>
    <w:bookmarkStart w:id="65"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65"/>
    <w:bookmarkStart w:id="66"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66"/>
    <w:bookmarkStart w:id="67"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67"/>
    <w:bookmarkStart w:id="68"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68"/>
    <w:bookmarkStart w:id="69"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69"/>
    <w:bookmarkEnd w:id="70"/>
    <w:bookmarkStart w:id="79" w:name="Xabe361c2d5961cf19ce7ab2bd5d9bc6d758140a"/>
    <w:p>
      <w:pPr>
        <w:pStyle w:val="Heading2"/>
      </w:pPr>
      <w:r>
        <w:t xml:space="preserve">4.4 Kết quả bối cảnh thể chế trung bình cao: Trung Quốc, 2012–2024 (P5)</w:t>
      </w:r>
    </w:p>
    <w:bookmarkStart w:id="71"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doanh nghiệp. Điểm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71"/>
    <w:bookmarkStart w:id="72"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72"/>
    <w:bookmarkStart w:id="73"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73"/>
    <w:bookmarkStart w:id="74"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74"/>
    <w:bookmarkStart w:id="75"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75"/>
    <w:bookmarkStart w:id="76"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76"/>
    <w:bookmarkStart w:id="77"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77"/>
    <w:bookmarkStart w:id="78"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78"/>
    <w:bookmarkEnd w:id="79"/>
    <w:bookmarkStart w:id="91" w:name="Xdbd5cc67084304ba85b73781c0cb0c00b74055b"/>
    <w:p>
      <w:pPr>
        <w:pStyle w:val="Heading2"/>
      </w:pPr>
      <w:r>
        <w:t xml:space="preserve">4.5 Kết quả bối cảnh chuyển đổi bậc thấp–trung: Việt Nam (P3)</w:t>
      </w:r>
    </w:p>
    <w:bookmarkStart w:id="8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80"/>
    <w:bookmarkStart w:id="81"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81"/>
    <w:bookmarkStart w:id="82"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82"/>
    <w:bookmarkStart w:id="83"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t>F</m:t>
        </m:r>
        <m:r>
          <m:t>S</m:t>
        </m:r>
        <m:r>
          <m:t>T</m:t>
        </m:r>
        <m:r>
          <m:t>S</m:t>
        </m:r>
        <m:r>
          <m:rPr>
            <m:sty m:val="p"/>
          </m:rPr>
          <m:t>×</m:t>
        </m:r>
        <m:r>
          <m:t>D</m:t>
        </m:r>
        <m:r>
          <m:t>A</m:t>
        </m:r>
        <m: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83"/>
    <w:bookmarkStart w:id="84"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84"/>
    <w:bookmarkStart w:id="85"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85"/>
    <w:bookmarkStart w:id="86"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86"/>
    <w:bookmarkStart w:id="87"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87"/>
    <w:bookmarkStart w:id="88"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88"/>
    <w:bookmarkStart w:id="89"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89"/>
    <w:bookmarkStart w:id="90"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90"/>
    <w:bookmarkEnd w:id="91"/>
    <w:bookmarkStart w:id="103" w:name="X561afa853383c674354c1acb167a55cae3a018f"/>
    <w:p>
      <w:pPr>
        <w:pStyle w:val="Heading2"/>
      </w:pPr>
      <w:r>
        <w:t xml:space="preserve">4.6 Kết quả kiểm định toàn mẫu đa bối cảnh châu Á (P7)</w:t>
      </w:r>
    </w:p>
    <w:bookmarkStart w:id="92"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92"/>
    <w:bookmarkStart w:id="96"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94" name="Picture"/>
            <a:graphic>
              <a:graphicData uri="http://schemas.openxmlformats.org/drawingml/2006/picture">
                <pic:pic>
                  <pic:nvPicPr>
                    <pic:cNvPr descr="figures/fig_4_x_ip_curves_icrv_gradient.png" id="95" name="Picture"/>
                    <pic:cNvPicPr>
                      <a:picLocks noChangeArrowheads="1" noChangeAspect="1"/>
                    </pic:cNvPicPr>
                  </pic:nvPicPr>
                  <pic:blipFill>
                    <a:blip r:embed="rId93"/>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96"/>
    <w:bookmarkStart w:id="97"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0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97"/>
    <w:bookmarkStart w:id="98"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98"/>
    <w:bookmarkStart w:id="99"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gradient trơn. Nói cách khác, điều tiết thể chế là điều tiết về sự tồn tại của dạng hàm, không phải điều tiết về vị trí của một điểm uốn phổ quát.</w:t>
      </w:r>
    </w:p>
    <w:bookmarkEnd w:id="99"/>
    <w:bookmarkStart w:id="100"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gradient trơn mà như ba vùng rời rạc. Ở giữa gradient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tan rã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100"/>
    <w:bookmarkStart w:id="101"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gradient,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101"/>
    <w:bookmarkStart w:id="102"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gradient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102"/>
    <w:bookmarkEnd w:id="103"/>
    <w:bookmarkStart w:id="115" w:name="X42f69945b56833cca239d45dc5864a7be6f74d7"/>
    <w:p>
      <w:pPr>
        <w:pStyle w:val="Heading2"/>
      </w:pPr>
      <w:r>
        <w:t xml:space="preserve">4.7 Kết quả trường hợp biên SIDS: Các nền kinh tế đảo nhỏ đang phát triển (P8)</w:t>
      </w:r>
    </w:p>
    <w:bookmarkStart w:id="104"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Mẫu phân tích, gồm các quan sát có đủ giá trị về năng suất lao động, cường độ xuất khẩu và tuổi doanh nghiệp, có tổng</w:t>
      </w:r>
      <w:r>
        <w:t xml:space="preserve"> </w:t>
      </w:r>
      <m:oMath>
        <m:r>
          <m:t>N</m:t>
        </m:r>
        <m:r>
          <m:rPr>
            <m:sty m:val="p"/>
          </m:rPr>
          <m:t>=</m:t>
        </m:r>
        <m:r>
          <m:t>959</m:t>
        </m:r>
      </m:oMath>
      <w:r>
        <w:t xml:space="preserve"> </w:t>
      </w:r>
      <w:r>
        <w:t xml:space="preserve">doanh nghiệp, trong đó chỉ 132 doanh nghiệp (13,8% mẫu) có xuất khẩu với cường độ dương. Cường độ xuất khẩu trung bình rất thấp, ở mức 0,048 (tức 4,8%),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104"/>
    <w:bookmarkStart w:id="108"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sự tan rã của dạng chữ U ngược</w:t>
      </w:r>
      <w:r>
        <w:t xml:space="preserve">. Trên mẫu đầy đủ tám nền kinh tế đảo nhỏ (gồm Timor-Leste;</w:t>
      </w:r>
      <w:r>
        <w:t xml:space="preserve"> </w:t>
      </w:r>
      <m:oMath>
        <m:r>
          <m:t>N</m:t>
        </m:r>
        <m:r>
          <m:rPr>
            <m:sty m:val="p"/>
          </m:rPr>
          <m:t>=</m:t>
        </m:r>
        <m:r>
          <m:t>1.916</m:t>
        </m:r>
      </m:oMath>
      <w:r>
        <w:t xml:space="preserve"> </w:t>
      </w:r>
      <w:r>
        <w:t xml:space="preserve">doanh nghiệp, tám cụm quốc gia),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553</m:t>
        </m:r>
      </m:oMath>
      <w:r>
        <w:t xml:space="preserve"> </w:t>
      </w:r>
      <w:r>
        <w:t xml:space="preserve">(</w:t>
      </w:r>
      <m:oMath>
        <m:sSub>
          <m:e>
            <m:r>
              <m:t>p</m:t>
            </m:r>
          </m:e>
          <m:sub>
            <m:r>
              <m:rPr>
                <m:nor/>
                <m:sty m:val="p"/>
              </m:rPr>
              <m:t>wild</m:t>
            </m:r>
          </m:sub>
        </m:sSub>
        <m:r>
          <m:rPr>
            <m:sty m:val="p"/>
          </m:rPr>
          <m:t>=</m:t>
        </m:r>
        <m:r>
          <m:rPr>
            <m:sty m:val="p"/>
          </m:rPr>
          <m:t>,</m:t>
        </m:r>
        <m:r>
          <m:t>21</m:t>
        </m:r>
      </m:oMath>
      <w:r>
        <w:t xml:space="preserve">) và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161</m:t>
        </m:r>
      </m:oMath>
      <w:r>
        <w:t xml:space="preserve"> </w:t>
      </w:r>
      <w:r>
        <w:t xml:space="preserve">(</w:t>
      </w:r>
      <m:oMath>
        <m:sSub>
          <m:e>
            <m:r>
              <m:t>p</m:t>
            </m:r>
          </m:e>
          <m:sub>
            <m:r>
              <m:rPr>
                <m:nor/>
                <m:sty m:val="p"/>
              </m:rPr>
              <m:t>wild</m:t>
            </m:r>
          </m:sub>
        </m:sSub>
        <m:r>
          <m:rPr>
            <m:sty m:val="p"/>
          </m:rPr>
          <m:t>=</m:t>
        </m:r>
        <m:r>
          <m:rPr>
            <m:sty m:val="p"/>
          </m:rPr>
          <m:t>,</m:t>
        </m:r>
        <m:r>
          <m:t>25</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đặc tả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844</m:t>
        </m:r>
      </m:oMath>
      <w:r>
        <w:t xml:space="preserve"> </w:t>
      </w:r>
      <w:r>
        <w:t xml:space="preserve">(</w:t>
      </w:r>
      <m:oMath>
        <m:sSub>
          <m:e>
            <m:r>
              <m:t>p</m:t>
            </m:r>
          </m:e>
          <m:sub>
            <m:r>
              <m:rPr>
                <m:nor/>
                <m:sty m:val="p"/>
              </m:rPr>
              <m:t>wild</m:t>
            </m:r>
          </m:sub>
        </m:sSub>
        <m:r>
          <m:rPr>
            <m:sty m:val="p"/>
          </m:rPr>
          <m:t>=</m:t>
        </m:r>
        <m:r>
          <m:rPr>
            <m:sty m:val="p"/>
          </m:rPr>
          <m:t>,</m:t>
        </m:r>
        <m:r>
          <m:t>07</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860</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141</m:t>
        </m:r>
      </m:oMath>
      <w:r>
        <w:t xml:space="preserve">,</w:t>
      </w:r>
      <w:r>
        <w:t xml:space="preserve"> </w:t>
      </w:r>
      <m:oMath>
        <m:sSub>
          <m:e>
            <m:r>
              <m:t>p</m:t>
            </m:r>
          </m:e>
          <m:sub>
            <m:r>
              <m:rPr>
                <m:nor/>
                <m:sty m:val="p"/>
              </m:rPr>
              <m:t>wild</m:t>
            </m:r>
          </m:sub>
        </m:sSub>
        <m:r>
          <m:rPr>
            <m:sty m:val="p"/>
          </m:rPr>
          <m:t>=</m:t>
        </m:r>
        <m:r>
          <m:rPr>
            <m:sty m:val="p"/>
          </m:rPr>
          <m:t>,</m:t>
        </m:r>
        <m:r>
          <m:t>04</m:t>
        </m:r>
      </m:oMath>
      <w:r>
        <w:t xml:space="preserve">) nhưng không khôi phục dạng chữ U ngược.</w:t>
      </w:r>
    </w:p>
    <w:p>
      <w:pPr>
        <w:pStyle w:val="CaptionedFigure"/>
      </w:pPr>
      <w:r>
        <w:drawing>
          <wp:inline>
            <wp:extent cx="5753100" cy="2575077"/>
            <wp:effectExtent b="0" l="0" r="0" t="0"/>
            <wp:docPr descr="Hình 4.7.1. Sự tan rã của chữ U ngượ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106" name="Picture"/>
            <a:graphic>
              <a:graphicData uri="http://schemas.openxmlformats.org/drawingml/2006/picture">
                <pic:pic>
                  <pic:nvPicPr>
                    <pic:cNvPr descr="figures/fig_4_7_1_sids_inversion.png" id="107" name="Picture"/>
                    <pic:cNvPicPr>
                      <a:picLocks noChangeArrowheads="1" noChangeAspect="1"/>
                    </pic:cNvPicPr>
                  </pic:nvPicPr>
                  <pic:blipFill>
                    <a:blip r:embed="rId105"/>
                    <a:stretch>
                      <a:fillRect/>
                    </a:stretch>
                  </pic:blipFill>
                  <pic:spPr bwMode="auto">
                    <a:xfrm>
                      <a:off x="0" y="0"/>
                      <a:ext cx="5753100" cy="2575077"/>
                    </a:xfrm>
                    <a:prstGeom prst="rect">
                      <a:avLst/>
                    </a:prstGeom>
                    <a:noFill/>
                    <a:ln w="9525">
                      <a:noFill/>
                      <a:headEnd/>
                      <a:tailEnd/>
                    </a:ln>
                  </pic:spPr>
                </pic:pic>
              </a:graphicData>
            </a:graphic>
          </wp:inline>
        </w:drawing>
      </w:r>
    </w:p>
    <w:p>
      <w:pPr>
        <w:pStyle w:val="ImageCaption"/>
      </w:pPr>
      <w:r>
        <w:t xml:space="preserve">Hình 4.7.1. Sự tan rã của chữ U ngược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chữ ký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sự tan rã của chữ U ngược</w:t>
      </w:r>
      <w:r>
        <w:t xml:space="preserve">; độ cong dương có điều kiện chỉ là một dấu hiệu gợi ý ở mức biên ý nghĩa.</w:t>
      </w:r>
    </w:p>
    <w:bookmarkEnd w:id="108"/>
    <w:bookmarkStart w:id="109"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109"/>
    <w:bookmarkStart w:id="110"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110"/>
    <w:bookmarkStart w:id="111"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111"/>
    <w:bookmarkStart w:id="112"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112"/>
    <w:bookmarkStart w:id="113" w:name="X1c195754a95259c712ac576e38ee1c5da4f052c"/>
    <w:p>
      <w:pPr>
        <w:pStyle w:val="Heading3"/>
      </w:pPr>
      <w:r>
        <w:t xml:space="preserve">4.7.7 Mô thức dấu của hệ số FIP qua các đặc tả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đặc tả,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113"/>
    <w:bookmarkStart w:id="114"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đặc tả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114"/>
    <w:bookmarkEnd w:id="115"/>
    <w:bookmarkStart w:id="124"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tan rã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116"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116"/>
    <w:bookmarkStart w:id="117"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117"/>
    <w:bookmarkStart w:id="118"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118"/>
    <w:bookmarkStart w:id="119"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119"/>
    <w:bookmarkStart w:id="120"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120"/>
    <w:bookmarkStart w:id="121"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tan rã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121"/>
    <w:bookmarkStart w:id="122"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tan rã.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122"/>
    <w:bookmarkStart w:id="123"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123"/>
    <w:bookmarkEnd w:id="124"/>
    <w:bookmarkStart w:id="128"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125"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gradient thể chế: chữ U ngược ở các chế độ chuyển đổi, gần tuyến tính ở biên trên, tan rã ở biên dưới.</w:t>
      </w:r>
    </w:p>
    <w:bookmarkEnd w:id="125"/>
    <w:bookmarkStart w:id="126"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126"/>
    <w:bookmarkStart w:id="127"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127"/>
    <w:bookmarkEnd w:id="128"/>
    <w:bookmarkStart w:id="129"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29"/>
    <w:bookmarkStart w:id="130"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(châu Á)</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1.916</w:t>
            </w:r>
          </w:p>
        </w:tc>
        <w:tc>
          <w:tcPr/>
          <w:p>
            <w:pPr>
              <w:pStyle w:val="Compact"/>
              <w:jc w:val="left"/>
            </w:pPr>
            <w:r>
              <w:t xml:space="preserve">chữ U ngược tan rã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sự tan rã của chữ U ngược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tan rã tại SIDS; FIP là trường hợp giới hạn</w:t>
            </w:r>
          </w:p>
        </w:tc>
        <w:tc>
          <w:tcPr/>
          <w:p>
            <w:pPr>
              <w:pStyle w:val="Compact"/>
              <w:jc w:val="left"/>
            </w:pPr>
            <w:r>
              <w:t xml:space="preserve">Ủng hộ theo hướng tan rã: trên mẫu đầy đủ tám nền (</w:t>
            </w:r>
            <m:oMath>
              <m:r>
                <m:t>N</m:t>
              </m:r>
              <m:r>
                <m:rPr>
                  <m:sty m:val="p"/>
                </m:rPr>
                <m:t>=</m:t>
              </m:r>
              <m:r>
                <m:t>1.916</m:t>
              </m:r>
            </m:oMath>
            <w:r>
              <w:t xml:space="preserve">, tám cụm) cả độ cong (</w:t>
            </w:r>
            <m:oMath>
              <m:r>
                <m:rPr>
                  <m:sty m:val="p"/>
                </m:rPr>
                <m:t>+</m:t>
              </m:r>
              <m:r>
                <m:t>0</m:t>
              </m:r>
              <m:r>
                <m:rPr>
                  <m:sty m:val="p"/>
                </m:rPr>
                <m:t>,</m:t>
              </m:r>
              <m:r>
                <m:t>553</m:t>
              </m:r>
            </m:oMath>
            <w:r>
              <w:t xml:space="preserve">,</w:t>
            </w:r>
            <w:r>
              <w:t xml:space="preserve"> </w:t>
            </w:r>
            <m:oMath>
              <m:sSub>
                <m:e>
                  <m:r>
                    <m:t>p</m:t>
                  </m:r>
                </m:e>
                <m:sub>
                  <m:r>
                    <m:rPr>
                      <m:nor/>
                      <m:sty m:val="p"/>
                    </m:rPr>
                    <m:t>wild</m:t>
                  </m:r>
                </m:sub>
              </m:sSub>
              <m:r>
                <m:rPr>
                  <m:sty m:val="p"/>
                </m:rPr>
                <m:t>=</m:t>
              </m:r>
              <m:r>
                <m:rPr>
                  <m:sty m:val="p"/>
                </m:rPr>
                <m:t>,</m:t>
              </m:r>
              <m:r>
                <m:t>21</m:t>
              </m:r>
            </m:oMath>
            <w:r>
              <w:t xml:space="preserve">) lẫn độ dốc (</w:t>
            </w:r>
            <m:oMath>
              <m:r>
                <m:rPr>
                  <m:sty m:val="p"/>
                </m:rPr>
                <m:t>−</m:t>
              </m:r>
              <m:r>
                <m:t>0</m:t>
              </m:r>
              <m:r>
                <m:rPr>
                  <m:sty m:val="p"/>
                </m:rPr>
                <m:t>,</m:t>
              </m:r>
              <m:r>
                <m:t>161</m:t>
              </m:r>
            </m:oMath>
            <w:r>
              <w:t xml:space="preserve">,</w:t>
            </w:r>
            <w:r>
              <w:t xml:space="preserve"> </w:t>
            </w:r>
            <m:oMath>
              <m:sSub>
                <m:e>
                  <m:r>
                    <m:t>p</m:t>
                  </m:r>
                </m:e>
                <m:sub>
                  <m:r>
                    <m:rPr>
                      <m:nor/>
                      <m:sty m:val="p"/>
                    </m:rPr>
                    <m:t>wild</m:t>
                  </m:r>
                </m:sub>
              </m:sSub>
              <m:r>
                <m:rPr>
                  <m:sty m:val="p"/>
                </m:rPr>
                <m:t>=</m:t>
              </m:r>
              <m:r>
                <m:rPr>
                  <m:sty m:val="p"/>
                </m:rPr>
                <m:t>,</m:t>
              </m:r>
              <m:r>
                <m:t>25</m:t>
              </m:r>
            </m:oMath>
            <w:r>
              <w:t xml:space="preserve">) đều không có ý nghĩa. Hệ số âm mạnh (</w:t>
            </w:r>
            <m:oMath>
              <m:r>
                <m:rPr>
                  <m:sty m:val="p"/>
                </m:rPr>
                <m:t>−</m:t>
              </m:r>
              <m:r>
                <m:t>1</m:t>
              </m:r>
              <m:r>
                <m:rPr>
                  <m:sty m:val="p"/>
                </m:rPr>
                <m:t>,</m:t>
              </m:r>
              <m:sSup>
                <m:e>
                  <m:r>
                    <m:t>339</m:t>
                  </m:r>
                </m:e>
                <m:sup>
                  <m:r>
                    <m:rPr>
                      <m:sty m:val="p"/>
                    </m:rPr>
                    <m:t>*</m:t>
                  </m:r>
                  <m:r>
                    <m:rPr>
                      <m:sty m:val="p"/>
                    </m:rPr>
                    <m:t>*</m:t>
                  </m:r>
                  <m:r>
                    <m:rPr>
                      <m:sty m:val="p"/>
                    </m:rPr>
                    <m:t>*</m:t>
                  </m:r>
                </m:sup>
              </m:sSup>
            </m:oMath>
            <w:r>
              <w:t xml:space="preserve"> </w:t>
            </w:r>
            <w:r>
              <w:t xml:space="preserve">M1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130"/>
    <w:bookmarkStart w:id="131"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13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42" Target="media/rId42.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105" Target="media/rId105.png" /><Relationship Type="http://schemas.openxmlformats.org/officeDocument/2006/relationships/image" Id="rId45" Target="media/rId45.png" /><Relationship Type="http://schemas.openxmlformats.org/officeDocument/2006/relationships/image" Id="rId93" Target="media/rId93.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2026-06-19T09:34:48Z</dcterms:created>
  <dcterms:modified xsi:type="dcterms:W3CDTF">2026-06-19T09:34:48Z</dcterms:modified>
</cp:coreProperties>
</file>

<file path=docProps/custom.xml><?xml version="1.0" encoding="utf-8"?>
<Properties xmlns="http://schemas.openxmlformats.org/officeDocument/2006/custom-properties" xmlns:vt="http://schemas.openxmlformats.org/officeDocument/2006/docPropsVTypes"/>
</file>