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437ed28822898355bb3e696feb6c38f2dc769f"/>
    <w:p>
      <w:pPr>
        <w:pStyle w:val="Heading1"/>
      </w:pPr>
      <w:r>
        <w:t xml:space="preserve">Bộ câu hỏi phản biện &amp; trả lời chuẩn bị bảo vệ (Defense Q&amp;A)</w:t>
      </w:r>
    </w:p>
    <w:p>
      <w:pPr>
        <w:pStyle w:val="BlockText"/>
      </w:pPr>
      <w:r>
        <w:t xml:space="preserve">Luận án:</w:t>
      </w:r>
      <w:r>
        <w:t xml:space="preserve"> </w:t>
      </w:r>
      <w:r>
        <w:rPr>
          <w:iCs/>
          <w:i/>
        </w:rPr>
        <w:t xml:space="preserve">Quốc tế hóa và hiệu quả hoạt động kinh doanh của các doanh nghiệp ở Châu Á</w:t>
      </w:r>
      <w:r>
        <w:t xml:space="preserve"> </w:t>
      </w:r>
      <w:r>
        <w:t xml:space="preserve">NCS Đỗ Thùy Hương — Trường Kinh tế, Đại học Cần Thơ.</w:t>
      </w:r>
      <w:r>
        <w:t xml:space="preserve"> </w:t>
      </w:r>
      <w:r>
        <w:t xml:space="preserve">Tài liệu nội bộ chuẩn bị bảo vệ; mỗi câu trả lời được neo vào bằng chứng cụ thể trong luận án.</w:t>
      </w:r>
    </w:p>
    <w:p>
      <w:r>
        <w:pict>
          <v:rect style="width:0;height:1.5pt" o:hralign="center" o:hrstd="t" o:hr="t"/>
        </w:pict>
      </w:r>
    </w:p>
    <w:bookmarkStart w:id="20" w:name="a.-nhận-dạng-nhân-quả-nội-sinh"/>
    <w:p>
      <w:pPr>
        <w:pStyle w:val="Heading2"/>
      </w:pPr>
      <w:r>
        <w:t xml:space="preserve">A. Nhận dạng nhân quả &amp; nội sinh</w:t>
      </w:r>
    </w:p>
    <w:p>
      <w:pPr>
        <w:pStyle w:val="FirstParagraph"/>
      </w:pPr>
      <w:r>
        <w:rPr>
          <w:bCs/>
          <w:b/>
        </w:rPr>
        <w:t xml:space="preserve">Q1. Dữ liệu là lát cắt ngang lặp lại, sao có thể nói quốc tế hóa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cải thiện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hiệu quả? Hệ số FSTS chẳng phải chỉ phản ánh việc doanh nghiệp năng suất cao tự chọn vào xuất khẩu (Melitz)?</w:t>
      </w:r>
      <w:r>
        <w:t xml:space="preserve"> </w:t>
      </w:r>
      <w:r>
        <w:t xml:space="preserve">- Luận án</w:t>
      </w:r>
      <w:r>
        <w:t xml:space="preserve"> </w:t>
      </w:r>
      <w:r>
        <w:rPr>
          <w:bCs/>
          <w:b/>
        </w:rPr>
        <w:t xml:space="preserve">không tuyên bố nhân quả mạnh</w:t>
      </w:r>
      <w:r>
        <w:t xml:space="preserve"> </w:t>
      </w:r>
      <w:r>
        <w:t xml:space="preserve">ở khung đa quốc gia;</w:t>
      </w:r>
      <w:r>
        <w:t xml:space="preserve"> </w:t>
      </w:r>
      <w:r>
        <w:t xml:space="preserve">“</w:t>
      </w:r>
      <w:r>
        <w:t xml:space="preserve">hiệu quả</w:t>
      </w:r>
      <w:r>
        <w:t xml:space="preserve">”</w:t>
      </w:r>
      <w:r>
        <w:t xml:space="preserve"> </w:t>
      </w:r>
      <w:r>
        <w:t xml:space="preserve">là quan hệ đồng thời, được phát biểu minh bạch ở Mục 3.5.6.</w:t>
      </w:r>
      <w:r>
        <w:t xml:space="preserve"> </w:t>
      </w:r>
      <w:r>
        <w:t xml:space="preserve">- Ba lớp phòng thủ: (i)</w:t>
      </w:r>
      <w:r>
        <w:t xml:space="preserve"> </w:t>
      </w:r>
      <w:r>
        <w:rPr>
          <w:bCs/>
          <w:b/>
        </w:rPr>
        <w:t xml:space="preserve">hiệu ứng cố định hai chiều</w:t>
      </w:r>
      <w:r>
        <w:t xml:space="preserve"> </w:t>
      </w:r>
      <w:r>
        <w:t xml:space="preserve">(nền kinh tế × năm) + chuẩn hóa within country–year hấp thụ chênh lệch mức cố định giữa doanh nghiệp xuất khẩu và không xuất khẩu; (ii) đối tượng suy luận trọng tâm là</w:t>
      </w:r>
      <w:r>
        <w:t xml:space="preserve"> </w:t>
      </w:r>
      <w:r>
        <w:rPr>
          <w:bCs/>
          <w:b/>
        </w:rPr>
        <w:t xml:space="preserve">hình dạng</w:t>
      </w:r>
      <w:r>
        <w:t xml:space="preserve"> </w:t>
      </w:r>
      <w:r>
        <w:t xml:space="preserve">(độ cong, vị trí điểm uốn), mà câu chuyện chọn lọc mức đơn thuần khó tạo ra cực đại nội vùng có hệ thống; (iii)</w:t>
      </w:r>
      <w:r>
        <w:t xml:space="preserve"> </w:t>
      </w:r>
      <w:r>
        <w:rPr>
          <w:bCs/>
          <w:b/>
        </w:rPr>
        <w:t xml:space="preserve">kiểm tra chọn lọc Heckman</w:t>
      </w:r>
      <w:r>
        <w:t xml:space="preserve"> </w:t>
      </w:r>
      <w:r>
        <w:t xml:space="preserve">(Mục 4.6.8): thêm tỷ số Mills nghịch đảo, điểm uốn gần như không đổi (43,6%→43,5%), độ cong giữ nguyên (β₂=−0,732, p&lt;,001),</w:t>
      </w:r>
      <w:r>
        <w:t xml:space="preserve"> </w:t>
      </w:r>
      <w:r>
        <w:rPr>
          <w:bCs/>
          <w:b/>
        </w:rPr>
        <w:t xml:space="preserve">tỷ số Mills không có ý nghĩa (p=,317)</w:t>
      </w:r>
      <w:r>
        <w:t xml:space="preserve"> </w:t>
      </w:r>
      <w:r>
        <w:t xml:space="preserve">→ không phát hiện thiên lệch chọn lọc trong độ cong.</w:t>
      </w:r>
      <w:r>
        <w:t xml:space="preserve"> </w:t>
      </w:r>
      <w:r>
        <w:t xml:space="preserve">- Ở cấp đơn quốc gia (P3 Việt Nam) có</w:t>
      </w:r>
      <w:r>
        <w:t xml:space="preserve"> </w:t>
      </w:r>
      <w:r>
        <w:rPr>
          <w:bCs/>
          <w:b/>
        </w:rPr>
        <w:t xml:space="preserve">biến công cụ</w:t>
      </w:r>
      <w:r>
        <w:t xml:space="preserve"> </w:t>
      </w:r>
      <w:r>
        <w:t xml:space="preserve">cho năng lực (F bậc một = 22,1) tách hiệu ứng nhân quả.</w:t>
      </w:r>
    </w:p>
    <w:p>
      <w:pPr>
        <w:pStyle w:val="BodyText"/>
      </w:pPr>
      <w:r>
        <w:rPr>
          <w:bCs/>
          <w:b/>
        </w:rPr>
        <w:t xml:space="preserve">Q2. Vì sao không dùng biến công cụ cho FSTS ở khung 50 nền?</w:t>
      </w:r>
      <w:r>
        <w:t xml:space="preserve"> </w:t>
      </w:r>
      <w:r>
        <w:t xml:space="preserve">- Không có công cụ hợp lệ ở quy mô 50 nền cho FSTS; luận án thừa nhận tường minh (Mục 3.5.6). Thay vào đó dựa vào FE hai chiều + suy luận theo hình dạng + kiểm tra IMR, và</w:t>
      </w:r>
      <w:r>
        <w:t xml:space="preserve"> </w:t>
      </w:r>
      <w:r>
        <w:rPr>
          <w:bCs/>
          <w:b/>
        </w:rPr>
        <w:t xml:space="preserve">tam giác hóa</w:t>
      </w:r>
      <w:r>
        <w:t xml:space="preserve"> </w:t>
      </w:r>
      <w:r>
        <w:t xml:space="preserve">với phân tích tổng hợp P6 (nguồn thiên lệch khác nhau, cùng kết luận).</w:t>
      </w:r>
    </w:p>
    <w:p>
      <w:r>
        <w:pict>
          <v:rect style="width:0;height:1.5pt" o:hralign="center" o:hrstd="t" o:hr="t"/>
        </w:pict>
      </w:r>
    </w:p>
    <w:bookmarkEnd w:id="20"/>
    <w:bookmarkStart w:id="21" w:name="b.-cấu-trúc-ba-vùng-suy-luận-thống-kê"/>
    <w:p>
      <w:pPr>
        <w:pStyle w:val="Heading2"/>
      </w:pPr>
      <w:r>
        <w:t xml:space="preserve">B. Cấu trúc ba vùng &amp; suy luận thống kê</w:t>
      </w:r>
    </w:p>
    <w:p>
      <w:pPr>
        <w:pStyle w:val="FirstParagraph"/>
      </w:pPr>
      <w:r>
        <w:rPr>
          <w:bCs/>
          <w:b/>
        </w:rPr>
        <w:t xml:space="preserve">Q3. Cấu trúc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 vùng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có chắc không, hay chỉ là ước lượng từng nhóm ICRV với ít quốc gia?</w:t>
      </w:r>
      <w:r>
        <w:t xml:space="preserve"> </w:t>
      </w:r>
      <w:r>
        <w:t xml:space="preserve">- Đúng là từng nhóm chỉ có 6–16 nền (cụm), nên</w:t>
      </w:r>
      <w:r>
        <w:t xml:space="preserve"> </w:t>
      </w:r>
      <w:r>
        <w:rPr>
          <w:bCs/>
          <w:b/>
        </w:rPr>
        <w:t xml:space="preserve">bootstrap cụm hoang dã</w:t>
      </w:r>
      <w:r>
        <w:t xml:space="preserve"> </w:t>
      </w:r>
      <w:r>
        <w:t xml:space="preserve">(CGM, B=9.999) cho thấy giá trị p từng nhóm bị CRV1 thổi phồng: độ cong vùng chuyển đổi nới từ 0,001 lên ≈0,10 (Mục 4.6.8).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Chính vì vậy</w:t>
      </w:r>
      <w:r>
        <w:t xml:space="preserve"> </w:t>
      </w:r>
      <w:r>
        <w:t xml:space="preserve">suy luận hình thức về tính phi tuyến</w:t>
      </w:r>
      <w:r>
        <w:t xml:space="preserve"> </w:t>
      </w:r>
      <w:r>
        <w:rPr>
          <w:bCs/>
          <w:b/>
        </w:rPr>
        <w:t xml:space="preserve">được neo ở cấp gộp</w:t>
      </w:r>
      <w:r>
        <w:t xml:space="preserve"> </w:t>
      </w:r>
      <w:r>
        <w:t xml:space="preserve">(M2, 49 cụm, β₂=−1,399, p&lt;,001) và</w:t>
      </w:r>
      <w:r>
        <w:t xml:space="preserve"> </w:t>
      </w:r>
      <w:r>
        <w:rPr>
          <w:bCs/>
          <w:b/>
        </w:rPr>
        <w:t xml:space="preserve">tam giác hóa với P6</w:t>
      </w:r>
      <w:r>
        <w:t xml:space="preserve"> </w:t>
      </w:r>
      <w:r>
        <w:t xml:space="preserve">(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35</m:t>
        </m:r>
      </m:oMath>
      <w:r>
        <w:t xml:space="preserve">, p=,002). Điểm uốn từng nhóm được đọc như</w:t>
      </w:r>
      <w:r>
        <w:t xml:space="preserve"> </w:t>
      </w:r>
      <w:r>
        <w:rPr>
          <w:bCs/>
          <w:b/>
        </w:rPr>
        <w:t xml:space="preserve">gradient mô tả</w:t>
      </w:r>
      <w:r>
        <w:t xml:space="preserve">, không phải kiểm định độc lập — luận án phát biểu đúng như vậy.</w:t>
      </w:r>
      <w:r>
        <w:t xml:space="preserve"> </w:t>
      </w:r>
      <w:r>
        <w:t xml:space="preserve">- Củng cố: ba ước lượng điểm uốn</w:t>
      </w:r>
      <w:r>
        <w:t xml:space="preserve"> </w:t>
      </w:r>
      <w:r>
        <w:rPr>
          <w:bCs/>
          <w:b/>
        </w:rPr>
        <w:t xml:space="preserve">đơn quốc gia độc lập</w:t>
      </w:r>
      <w:r>
        <w:t xml:space="preserve"> </w:t>
      </w:r>
      <w:r>
        <w:t xml:space="preserve">(Việt Nam 39–46%, Trung Quốc 47–49%) hội tụ về dải vùng giữa</w:t>
      </w:r>
      <w:r>
        <w:t xml:space="preserve"> </w:t>
      </w:r>
      <w:r>
        <w:rPr>
          <w:bCs/>
          <w:b/>
        </w:rPr>
        <w:t xml:space="preserve">ngoài mẫu</w:t>
      </w:r>
      <w:r>
        <w:t xml:space="preserve">, khó là tạo tác đặc tả.</w:t>
      </w:r>
    </w:p>
    <w:p>
      <w:pPr>
        <w:pStyle w:val="BodyText"/>
      </w:pPr>
      <w:r>
        <w:rPr>
          <w:bCs/>
          <w:b/>
        </w:rPr>
        <w:t xml:space="preserve">Q4. Điểm cắt ICRV do chính tác giả chọn — phải chăng ba vùng chỉ là dò tìm đặc tả hậu nghiệm?</w:t>
      </w:r>
      <w:r>
        <w:t xml:space="preserve"> </w:t>
      </w:r>
      <w:r>
        <w:t xml:space="preserve">- Không. (i) Điểm cắt ICRV</w:t>
      </w:r>
      <w:r>
        <w:t xml:space="preserve"> </w:t>
      </w:r>
      <w:r>
        <w:rPr>
          <w:bCs/>
          <w:b/>
        </w:rPr>
        <w:t xml:space="preserve">xác định trước trên chỉ báo thể chế</w:t>
      </w:r>
      <w:r>
        <w:t xml:space="preserve"> </w:t>
      </w:r>
      <w:r>
        <w:t xml:space="preserve">(WGI, mức phát triển, đặc trưng cấu trúc),</w:t>
      </w:r>
      <w:r>
        <w:t xml:space="preserve"> </w:t>
      </w:r>
      <w:r>
        <w:rPr>
          <w:bCs/>
          <w:b/>
        </w:rPr>
        <w:t xml:space="preserve">độc lập</w:t>
      </w:r>
      <w:r>
        <w:t xml:space="preserve"> </w:t>
      </w:r>
      <w:r>
        <w:t xml:space="preserve">với biến kết quả I–P → không thể nắn theo đường cong (Mục 5.2.4). (ii) Sự</w:t>
      </w:r>
      <w:r>
        <w:t xml:space="preserve"> </w:t>
      </w:r>
      <w:r>
        <w:rPr>
          <w:bCs/>
          <w:b/>
        </w:rPr>
        <w:t xml:space="preserve">hội tụ ngoài mẫu</w:t>
      </w:r>
      <w:r>
        <w:t xml:space="preserve"> </w:t>
      </w:r>
      <w:r>
        <w:t xml:space="preserve">của điểm uốn đơn quốc gia +</w:t>
      </w:r>
      <w:r>
        <w:t xml:space="preserve"> </w:t>
      </w:r>
      <w:r>
        <w:rPr>
          <w:bCs/>
          <w:b/>
        </w:rPr>
        <w:t xml:space="preserve">tam giác hóa P6–P7</w:t>
      </w:r>
      <w:r>
        <w:t xml:space="preserve"> </w:t>
      </w:r>
      <w:r>
        <w:t xml:space="preserve">(hai phương pháp, điểm yếu không trùng) đặt cấu trúc ba vùng trên nền xác nhận chéo.</w:t>
      </w:r>
    </w:p>
    <w:p>
      <w:r>
        <w:pict>
          <v:rect style="width:0;height:1.5pt" o:hralign="center" o:hrstd="t" o:hr="t"/>
        </w:pict>
      </w:r>
    </w:p>
    <w:bookmarkEnd w:id="21"/>
    <w:bookmarkStart w:id="22" w:name="c.-đóng-góp-lý-thuyết-fip-cdcm-icrv"/>
    <w:p>
      <w:pPr>
        <w:pStyle w:val="Heading2"/>
      </w:pPr>
      <w:r>
        <w:t xml:space="preserve">C. Đóng góp lý thuyết: FIP, CDCM, ICRV</w:t>
      </w:r>
    </w:p>
    <w:p>
      <w:pPr>
        <w:pStyle w:val="FirstParagraph"/>
      </w:pPr>
      <w:r>
        <w:rPr>
          <w:bCs/>
          <w:b/>
        </w:rPr>
        <w:t xml:space="preserve">Q5. FIP (gánh nặng quốc tế hóa cưỡng bức) có thật là khái niệm mới, hay chỉ là giai đoạn 1 của đường cong chữ S / gánh nặng người nước ngoài?</w:t>
      </w:r>
      <w:r>
        <w:t xml:space="preserve"> </w:t>
      </w:r>
      <w:r>
        <w:t xml:space="preserve">- Trước hết, làm rõ vị thế bằng chứng: phát hiện</w:t>
      </w:r>
      <w:r>
        <w:t xml:space="preserve"> </w:t>
      </w:r>
      <w:r>
        <w:rPr>
          <w:bCs/>
          <w:b/>
        </w:rPr>
        <w:t xml:space="preserve">vững</w:t>
      </w:r>
      <w:r>
        <w:t xml:space="preserve"> </w:t>
      </w:r>
      <w:r>
        <w:t xml:space="preserve">trên mẫu đầy đủ tám nền là dạng chữ U ngược</w:t>
      </w:r>
      <w:r>
        <w:t xml:space="preserve"> </w:t>
      </w:r>
      <w:r>
        <w:rPr>
          <w:bCs/>
          <w:b/>
        </w:rPr>
        <w:t xml:space="preserve">tan rã</w:t>
      </w:r>
      <w:r>
        <w:t xml:space="preserve"> </w:t>
      </w:r>
      <w:r>
        <w:t xml:space="preserve">(cả độ cong lẫn độ dốc đều không có ý nghĩa); FIP được nêu như</w:t>
      </w:r>
      <w:r>
        <w:t xml:space="preserve"> </w:t>
      </w:r>
      <w:r>
        <w:rPr>
          <w:bCs/>
          <w:b/>
        </w:rPr>
        <w:t xml:space="preserve">trường hợp giới hạn lý thuyết</w:t>
      </w:r>
      <w:r>
        <w:t xml:space="preserve"> </w:t>
      </w:r>
      <w:r>
        <w:t xml:space="preserve">của sự tan rã đó, không phải một quan hệ âm đơn điệu đã được ước lượng vững (hệ số −1,339 chỉ xuất hiện trên bản dựng dữ liệu hạn chế ba cụm, nhạy cảm với phiên bản dữ liệu).</w:t>
      </w:r>
      <w:r>
        <w:t xml:space="preserve"> </w:t>
      </w:r>
      <w:r>
        <w:t xml:space="preserve">- Khác biệt rạch ròi của FIP như construct (Mục 2.5.2b, 5.3.2): (i) khác</w:t>
      </w:r>
      <w:r>
        <w:t xml:space="preserve"> </w:t>
      </w:r>
      <w:r>
        <w:rPr>
          <w:bCs/>
          <w:b/>
        </w:rPr>
        <w:t xml:space="preserve">chi phí giai đoạn đầu</w:t>
      </w:r>
      <w:r>
        <w:t xml:space="preserve"> </w:t>
      </w:r>
      <w:r>
        <w:t xml:space="preserve">chữ S — FIP phản ánh ràng buộc</w:t>
      </w:r>
      <w:r>
        <w:t xml:space="preserve"> </w:t>
      </w:r>
      <w:r>
        <w:rPr>
          <w:bCs/>
          <w:b/>
        </w:rPr>
        <w:t xml:space="preserve">cấu trúc</w:t>
      </w:r>
      <w:r>
        <w:t xml:space="preserve"> </w:t>
      </w:r>
      <w:r>
        <w:t xml:space="preserve">chứ không phải giai đoạn; (ii) khác</w:t>
      </w:r>
      <w:r>
        <w:t xml:space="preserve"> </w:t>
      </w:r>
      <w:r>
        <w:rPr>
          <w:bCs/>
          <w:b/>
        </w:rPr>
        <w:t xml:space="preserve">gánh nặng người nước ngoài</w:t>
      </w:r>
      <w:r>
        <w:t xml:space="preserve"> </w:t>
      </w:r>
      <w:r>
        <w:t xml:space="preserve">(Zaheer) vận hành ở thị trường đích — FIP ở</w:t>
      </w:r>
      <w:r>
        <w:t xml:space="preserve"> </w:t>
      </w:r>
      <w:r>
        <w:rPr>
          <w:bCs/>
          <w:b/>
        </w:rPr>
        <w:t xml:space="preserve">thị trường nguồn</w:t>
      </w:r>
      <w:r>
        <w:t xml:space="preserve">; (iii) ba điều kiện cấu trúc đồng thời bị vi phạm (thị trường nội địa cực nhỏ, chi phí thương mại cực cao, vắng hỗ trợ thể chế).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Có tiêu chí kiểm sai</w:t>
      </w:r>
      <w:r>
        <w:t xml:space="preserve">: nếu Lind–Mehlum phát hiện cực đại nội vùng tại SIDS khi dữ liệu đủ phủ → FIP bị bác. Trên dữ liệu hiện có, việc không tìm thấy điểm uốn nhất quán với sự tan rã của cấu trúc, không phải do cắt cụt.</w:t>
      </w:r>
    </w:p>
    <w:p>
      <w:pPr>
        <w:pStyle w:val="BodyText"/>
      </w:pPr>
      <w:r>
        <w:rPr>
          <w:bCs/>
          <w:b/>
        </w:rPr>
        <w:t xml:space="preserve">Q6. CDCM khác gì các khung tích hợp thể chế–năng lực đã có?</w:t>
      </w:r>
      <w:r>
        <w:t xml:space="preserve"> </w:t>
      </w:r>
      <w:r>
        <w:t xml:space="preserve">- Điểm khác: thể chế</w:t>
      </w:r>
      <w:r>
        <w:t xml:space="preserve"> </w:t>
      </w:r>
      <w:r>
        <w:rPr>
          <w:bCs/>
          <w:b/>
        </w:rPr>
        <w:t xml:space="preserve">không phải một biến điều tiết ngang hàng</w:t>
      </w:r>
      <w:r>
        <w:t xml:space="preserve"> </w:t>
      </w:r>
      <w:r>
        <w:t xml:space="preserve">mà là</w:t>
      </w:r>
      <w:r>
        <w:t xml:space="preserve"> </w:t>
      </w:r>
      <w:r>
        <w:rPr>
          <w:bCs/>
          <w:b/>
        </w:rPr>
        <w:t xml:space="preserve">biến liên kết điều kiện hóa đồng thời</w:t>
      </w:r>
      <w:r>
        <w:t xml:space="preserve"> </w:t>
      </w:r>
      <w:r>
        <w:t xml:space="preserve">cả ba cơ chế còn lại (năng lực công nghệ, chấp nhận số, quản trị) — qua đó giải thích vì sao cùng một mức năng lực cho kết quả khác nhau theo chế độ thể chế (Mục 5.3.5).</w:t>
      </w:r>
    </w:p>
    <w:p>
      <w:pPr>
        <w:pStyle w:val="BodyText"/>
      </w:pPr>
      <w:r>
        <w:rPr>
          <w:bCs/>
          <w:b/>
        </w:rPr>
        <w:t xml:space="preserve">Q7. ICRV sáu nhóm chỉ là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chia nhỏ hơn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Marano (2016)?</w:t>
      </w:r>
      <w:r>
        <w:t xml:space="preserve"> </w:t>
      </w:r>
      <w:r>
        <w:t xml:space="preserve">- Hơn thế: phân loại nhị phân gây</w:t>
      </w:r>
      <w:r>
        <w:t xml:space="preserve"> </w:t>
      </w:r>
      <w:r>
        <w:rPr>
          <w:bCs/>
          <w:b/>
        </w:rPr>
        <w:t xml:space="preserve">triệt tiêu dấu</w:t>
      </w:r>
      <w:r>
        <w:t xml:space="preserve"> </w:t>
      </w:r>
      <w:r>
        <w:t xml:space="preserve">khi gộp — dưới nhãn</w:t>
      </w:r>
      <w:r>
        <w:t xml:space="preserve"> </w:t>
      </w:r>
      <w:r>
        <w:t xml:space="preserve">“</w:t>
      </w:r>
      <w:r>
        <w:t xml:space="preserve">mới nổi</w:t>
      </w:r>
      <w:r>
        <w:t xml:space="preserve">”</w:t>
      </w:r>
      <w:r>
        <w:t xml:space="preserve"> </w:t>
      </w:r>
      <w:r>
        <w:t xml:space="preserve">duy nhất, hệ số điều tiết lấy trung bình đồng thời các nền có chữ U ngược (Trung Quốc, Việt Nam), gần tuyến tính, và</w:t>
      </w:r>
      <w:r>
        <w:t xml:space="preserve"> </w:t>
      </w:r>
      <w:r>
        <w:rPr>
          <w:bCs/>
          <w:b/>
        </w:rPr>
        <w:t xml:space="preserve">cấu trúc tan rã</w:t>
      </w:r>
      <w:r>
        <w:t xml:space="preserve"> </w:t>
      </w:r>
      <w:r>
        <w:t xml:space="preserve">(SIDS/FIP), che lấp chính sự phân kỳ. ICRV</w:t>
      </w:r>
      <w:r>
        <w:t xml:space="preserve"> </w:t>
      </w:r>
      <w:r>
        <w:rPr>
          <w:bCs/>
          <w:b/>
        </w:rPr>
        <w:t xml:space="preserve">phục hồi thông tin gradient</w:t>
      </w:r>
      <w:r>
        <w:t xml:space="preserve"> </w:t>
      </w:r>
      <w:r>
        <w:t xml:space="preserve">bị mất (Mục 5.2.3).</w:t>
      </w:r>
    </w:p>
    <w:p>
      <w:r>
        <w:pict>
          <v:rect style="width:0;height:1.5pt" o:hralign="center" o:hrstd="t" o:hr="t"/>
        </w:pict>
      </w:r>
    </w:p>
    <w:bookmarkEnd w:id="22"/>
    <w:bookmarkStart w:id="23" w:name="d.-năng-lực-số-tcidai"/>
    <w:p>
      <w:pPr>
        <w:pStyle w:val="Heading2"/>
      </w:pPr>
      <w:r>
        <w:t xml:space="preserve">D. Năng lực số &amp; TCI/DAI</w:t>
      </w:r>
    </w:p>
    <w:p>
      <w:pPr>
        <w:pStyle w:val="FirstParagraph"/>
      </w:pPr>
      <w:r>
        <w:rPr>
          <w:bCs/>
          <w:b/>
        </w:rPr>
        <w:t xml:space="preserve">Q8.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Lá chắn số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mạnh nhất ở thể chế yếu — nhưng nơi thể chế yếu hạ tầng số cũng yếu nhất, sao lá chắn lại phát huy?</w:t>
      </w:r>
      <w:r>
        <w:t xml:space="preserve"> </w:t>
      </w:r>
      <w:r>
        <w:t xml:space="preserve">- Căng thẳng thay thế–bổ trợ được xử lý (Mục 2.5.6): DAI đo ở</w:t>
      </w:r>
      <w:r>
        <w:t xml:space="preserve"> </w:t>
      </w:r>
      <w:r>
        <w:rPr>
          <w:bCs/>
          <w:b/>
        </w:rPr>
        <w:t xml:space="preserve">tầng nền tảng nhất</w:t>
      </w:r>
      <w:r>
        <w:t xml:space="preserve"> </w:t>
      </w:r>
      <w:r>
        <w:t xml:space="preserve">(hiện diện web), loại công cụ</w:t>
      </w:r>
      <w:r>
        <w:t xml:space="preserve"> </w:t>
      </w:r>
      <w:r>
        <w:rPr>
          <w:bCs/>
          <w:b/>
        </w:rPr>
        <w:t xml:space="preserve">ít đòi hỏi hạ tầng</w:t>
      </w:r>
      <w:r>
        <w:t xml:space="preserve"> </w:t>
      </w:r>
      <w:r>
        <w:t xml:space="preserve">và khả thi trên hạ tầng mỏng; lợi ích đến từ</w:t>
      </w:r>
      <w:r>
        <w:t xml:space="preserve"> </w:t>
      </w:r>
      <w:r>
        <w:rPr>
          <w:bCs/>
          <w:b/>
        </w:rPr>
        <w:t xml:space="preserve">hạ chi phí tìm kiếm/thông tin</w:t>
      </w:r>
      <w:r>
        <w:t xml:space="preserve"> </w:t>
      </w:r>
      <w:r>
        <w:t xml:space="preserve">— chính chi phí mà khoảng trống thể chế khuếch đại. Luận án thừa nhận hiệu ứng có thể đảo chiều ở các tầng số đòi hỏi hạ tầng cao hơn (ranh giới phạm vi áp dụng).</w:t>
      </w:r>
    </w:p>
    <w:p>
      <w:pPr>
        <w:pStyle w:val="BodyText"/>
      </w:pPr>
      <w:r>
        <w:rPr>
          <w:bCs/>
          <w:b/>
        </w:rPr>
        <w:t xml:space="preserve">Q9. Làm sao phân biệt H2 (TCI nâng mặt bằng) với H3 (DAI uốn đường cong) trong cùng mô hình?</w:t>
      </w:r>
      <w:r>
        <w:t xml:space="preserve"> </w:t>
      </w:r>
      <w:r>
        <w:t xml:space="preserve">- Tiêu chí nhận dạng đối ngược (Mục 2.5.3–2.5.4): H2 dự đoán</w:t>
      </w:r>
      <w:r>
        <w:t xml:space="preserve"> </w:t>
      </w:r>
      <w:r>
        <w:rPr>
          <w:bCs/>
          <w:b/>
        </w:rPr>
        <w:t xml:space="preserve">hệ số chính TCI dương + tương tác TCI×FSTS² null</w:t>
      </w:r>
      <w:r>
        <w:t xml:space="preserve">; H3 dự đoán</w:t>
      </w:r>
      <w:r>
        <w:t xml:space="preserve"> </w:t>
      </w:r>
      <w:r>
        <w:rPr>
          <w:bCs/>
          <w:b/>
        </w:rPr>
        <w:t xml:space="preserve">tương tác DAI×FSTS² (hoặc DAI×FSTS) có ý nghĩa + hiệu ứng mức không nhất thiết mạnh</w:t>
      </w:r>
      <w:r>
        <w:t xml:space="preserve">. Kết quả 50 nền: cả bốn tương tác năng lực</w:t>
      </w:r>
      <w:r>
        <w:t xml:space="preserve"> </w:t>
      </w:r>
      <w:r>
        <w:rPr>
          <w:bCs/>
          <w:b/>
        </w:rPr>
        <w:t xml:space="preserve">không có ý nghĩa</w:t>
      </w:r>
      <w:r>
        <w:t xml:space="preserve"> </w:t>
      </w:r>
      <w:r>
        <w:t xml:space="preserve">kể cả sau hiệu chỉnh Holm/Bonferroni → năng lực là</w:t>
      </w:r>
      <w:r>
        <w:t xml:space="preserve"> </w:t>
      </w:r>
      <w:r>
        <w:rPr>
          <w:bCs/>
          <w:b/>
        </w:rPr>
        <w:t xml:space="preserve">bộ nâng mặt bằng</w:t>
      </w:r>
      <w:r>
        <w:t xml:space="preserve"> </w:t>
      </w:r>
      <w:r>
        <w:t xml:space="preserve">(kết luận vững trước đa kiểm định, Mục 4.6.8).</w:t>
      </w:r>
    </w:p>
    <w:p>
      <w:pPr>
        <w:pStyle w:val="BodyText"/>
      </w:pPr>
      <w:r>
        <w:rPr>
          <w:bCs/>
          <w:b/>
        </w:rPr>
        <w:t xml:space="preserve">Q10. DAI chỉ đo website (Tier-1) — đo lường quá nghèo để kết luận?</w:t>
      </w:r>
      <w:r>
        <w:t xml:space="preserve"> </w:t>
      </w:r>
      <w:r>
        <w:t xml:space="preserve">- Thừa nhận hạn chế (Mục 5.5.3.1). Nhưng: (i)</w:t>
      </w:r>
      <w:r>
        <w:t xml:space="preserve"> </w:t>
      </w:r>
      <w:r>
        <w:rPr>
          <w:bCs/>
          <w:b/>
        </w:rPr>
        <w:t xml:space="preserve">bất biến đo lường</w:t>
      </w:r>
      <w:r>
        <w:t xml:space="preserve"> </w:t>
      </w:r>
      <w:r>
        <w:t xml:space="preserve">— mục web hiện diện ~99% ở cả ba thế hệ lược đồ, trung bình tăng 0,30→0,46→0,53 phản ánh</w:t>
      </w:r>
      <w:r>
        <w:t xml:space="preserve"> </w:t>
      </w:r>
      <w:r>
        <w:rPr>
          <w:bCs/>
          <w:b/>
        </w:rPr>
        <w:t xml:space="preserve">khuếch tán thực</w:t>
      </w:r>
      <w:r>
        <w:t xml:space="preserve">, nên so sánh chéo đợt có cơ sở (Mục 4.6.8); (ii) kết luận DAI là</w:t>
      </w:r>
      <w:r>
        <w:t xml:space="preserve"> </w:t>
      </w:r>
      <w:r>
        <w:rPr>
          <w:bCs/>
          <w:b/>
        </w:rPr>
        <w:t xml:space="preserve">bộ nâng mặt bằng</w:t>
      </w:r>
      <w:r>
        <w:t xml:space="preserve"> </w:t>
      </w:r>
      <w:r>
        <w:t xml:space="preserve">vững; chỉ vai trò</w:t>
      </w:r>
      <w:r>
        <w:t xml:space="preserve"> </w:t>
      </w:r>
      <w:r>
        <w:rPr>
          <w:bCs/>
          <w:b/>
        </w:rPr>
        <w:t xml:space="preserve">uốn đường cong</w:t>
      </w:r>
      <w:r>
        <w:t xml:space="preserve"> </w:t>
      </w:r>
      <w:r>
        <w:t xml:space="preserve">là phụ thuộc tầng đo (xuất hiện ở P4 Singapore Tier-2, không ở mẫu gộp Tier-1) — luận án phát biểu đúng giới hạn này.</w:t>
      </w:r>
    </w:p>
    <w:p>
      <w:r>
        <w:pict>
          <v:rect style="width:0;height:1.5pt" o:hralign="center" o:hrstd="t" o:hr="t"/>
        </w:pict>
      </w:r>
    </w:p>
    <w:bookmarkEnd w:id="23"/>
    <w:bookmarkStart w:id="24" w:name="e.-phương-pháp-đối-chiếu-tài-liệu"/>
    <w:p>
      <w:pPr>
        <w:pStyle w:val="Heading2"/>
      </w:pPr>
      <w:r>
        <w:t xml:space="preserve">E. Phương pháp &amp; đối chiếu tài liệu</w:t>
      </w:r>
    </w:p>
    <w:p>
      <w:pPr>
        <w:pStyle w:val="FirstParagraph"/>
      </w:pPr>
      <w:r>
        <w:rPr>
          <w:bCs/>
          <w:b/>
        </w:rPr>
        <w:t xml:space="preserve">Q11. Vì sao chữ U ngược chứ không phải chữ S ba giai đoạn (Contractor)?</w:t>
      </w:r>
      <w:r>
        <w:t xml:space="preserve"> </w:t>
      </w:r>
      <w:r>
        <w:t xml:space="preserve">- Ở dải FSTS quan sát của WBES (mức xuất khẩu các nền đang phát triển), giai đoạn 3 của chữ S không xuất hiện → chữ U ngược là</w:t>
      </w:r>
      <w:r>
        <w:t xml:space="preserve"> </w:t>
      </w:r>
      <w:r>
        <w:rPr>
          <w:bCs/>
          <w:b/>
        </w:rPr>
        <w:t xml:space="preserve">trường hợp đặc biệt</w:t>
      </w:r>
      <w:r>
        <w:t xml:space="preserve"> </w:t>
      </w:r>
      <w:r>
        <w:t xml:space="preserve">phù hợp dữ liệu (Mục 2.5.2). Hơn nữa, thất bại nhân rộng chữ S (Berry &amp; Kaul 2016) được giải thích bởi chính cấu trúc ba vùng: ép một dạng hàm bậc ba cố định lên mẫu trộn nhiều chế độ thể chế tất yếu cho ước lượng bất ổn (Mục 5.2.6).</w:t>
      </w:r>
    </w:p>
    <w:p>
      <w:pPr>
        <w:pStyle w:val="BodyText"/>
      </w:pPr>
      <w:r>
        <w:rPr>
          <w:bCs/>
          <w:b/>
        </w:rPr>
        <w:t xml:space="preserve">Q12. Hệ số nữ quản lý âm — có phải bằng chứng nữ lãnh đạo kém hiệu quả?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(Mục 4.9.2, 5.1.4). Đọc thận trọng: ở nơi nữ lãnh đạo còn hiếm (Nhật Bản 7,3%), tập nhỏ doanh nghiệp do nữ điều hành</w:t>
      </w:r>
      <w:r>
        <w:t xml:space="preserve"> </w:t>
      </w:r>
      <w:r>
        <w:rPr>
          <w:bCs/>
          <w:b/>
        </w:rPr>
        <w:t xml:space="preserve">chọn lọc cấu thành</w:t>
      </w:r>
      <w:r>
        <w:t xml:space="preserve"> </w:t>
      </w:r>
      <w:r>
        <w:t xml:space="preserve">vào ngách quy mô nhỏ, biên thấp; hồi quy mức cắt ngang không tách được khỏi hiệu ứng lãnh đạo. Báo cáo như</w:t>
      </w:r>
      <w:r>
        <w:t xml:space="preserve"> </w:t>
      </w:r>
      <w:r>
        <w:rPr>
          <w:bCs/>
          <w:b/>
        </w:rPr>
        <w:t xml:space="preserve">quy luật mô tả</w:t>
      </w:r>
      <w:r>
        <w:t xml:space="preserve"> </w:t>
      </w:r>
      <w:r>
        <w:t xml:space="preserve">cần phân tích chọn lọc trong tương lai, không phải bằng chứng nhân quả.</w:t>
      </w:r>
    </w:p>
    <w:p>
      <w:pPr>
        <w:pStyle w:val="BodyText"/>
      </w:pPr>
      <w:r>
        <w:rPr>
          <w:bCs/>
          <w:b/>
        </w:rPr>
        <w:t xml:space="preserve">Q13. Phân tích tổng hợp (P6) và ước lượng gộp (P7) có gì bảo đảm không phải cùng một sai lệch?</w:t>
      </w:r>
      <w:r>
        <w:t xml:space="preserve"> </w:t>
      </w:r>
      <w:r>
        <w:t xml:space="preserve">- Hai phương pháp</w:t>
      </w:r>
      <w:r>
        <w:t xml:space="preserve"> </w:t>
      </w:r>
      <w:r>
        <w:rPr>
          <w:bCs/>
          <w:b/>
        </w:rPr>
        <w:t xml:space="preserve">điểm yếu không trùng</w:t>
      </w:r>
      <w:r>
        <w:t xml:space="preserve">: P6 dễ thiên lệch công bố + phụ thuộc báo cáo; P7 dễ thiên lệch chọn lọc xuất khẩu + chênh đo lường chéo đợt. Cùng định vị</w:t>
      </w:r>
      <w:r>
        <w:t xml:space="preserve"> </w:t>
      </w:r>
      <w:r>
        <w:rPr>
          <w:bCs/>
          <w:b/>
        </w:rPr>
        <w:t xml:space="preserve">thể chế là biến điều tiết then chốt</w:t>
      </w:r>
      <w:r>
        <w:t xml:space="preserve"> </w:t>
      </w:r>
      <w:r>
        <w:t xml:space="preserve">→ tam giác hóa nâng độ tin cậy (Mục 5.2.5).</w:t>
      </w:r>
    </w:p>
    <w:p>
      <w:pPr>
        <w:pStyle w:val="BodyText"/>
      </w:pPr>
      <w:r>
        <w:rPr>
          <w:bCs/>
          <w:b/>
        </w:rPr>
        <w:t xml:space="preserve">Q14. Khả năng tái lập? Reviewer/hội đồng kiểm tra được không?</w:t>
      </w:r>
      <w:r>
        <w:t xml:space="preserve"> </w:t>
      </w:r>
      <w:r>
        <w:t xml:space="preserve">- Bộ số canonical khóa ở</w:t>
      </w:r>
      <w:r>
        <w:t xml:space="preserve"> </w:t>
      </w:r>
      <w:r>
        <w:rPr>
          <w:rStyle w:val="VerbatimChar"/>
        </w:rPr>
        <w:t xml:space="preserve">CANONICAL_NUMBERS.md</w:t>
      </w:r>
      <w:r>
        <w:t xml:space="preserve">; khung 50 nền tái lập qua</w:t>
      </w:r>
      <w:r>
        <w:t xml:space="preserve"> </w:t>
      </w:r>
      <w:r>
        <w:rPr>
          <w:rStyle w:val="VerbatimChar"/>
        </w:rPr>
        <w:t xml:space="preserve">p7_run_50econ.py</w:t>
      </w:r>
      <w:r>
        <w:t xml:space="preserve"> </w:t>
      </w:r>
      <w:r>
        <w:t xml:space="preserve">(M2 β₁=1,189, điểm uốn 51,5% tái lập đúng). Gói robustness tái lập ở</w:t>
      </w:r>
      <w:r>
        <w:t xml:space="preserve"> </w:t>
      </w:r>
      <w:r>
        <w:rPr>
          <w:rStyle w:val="VerbatimChar"/>
        </w:rPr>
        <w:t xml:space="preserve">p7_robustness_suite_2026-06.md</w:t>
      </w:r>
      <w:r>
        <w:t xml:space="preserve">. Các paper đơn quốc gia chạy bằng do-file Stata (P3/P4/P5); khuyến nghị nộp kèm bảng ước lượng +</w:t>
      </w:r>
      <w:r>
        <w:t xml:space="preserve"> </w:t>
      </w:r>
      <w:r>
        <w:rPr>
          <w:rStyle w:val="VerbatimChar"/>
        </w:rPr>
        <w:t xml:space="preserve">.dta</w:t>
      </w:r>
      <w:r>
        <w:t xml:space="preserve"> </w:t>
      </w:r>
      <w:r>
        <w:t xml:space="preserve">phân tích để hội đồng kiểm chứng.</w:t>
      </w:r>
    </w:p>
    <w:p>
      <w:r>
        <w:pict>
          <v:rect style="width:0;height:1.5pt" o:hralign="center" o:hrstd="t" o:hr="t"/>
        </w:pict>
      </w:r>
    </w:p>
    <w:bookmarkEnd w:id="24"/>
    <w:bookmarkStart w:id="25" w:name="f.-phạm-vi-ý-nghĩa"/>
    <w:p>
      <w:pPr>
        <w:pStyle w:val="Heading2"/>
      </w:pPr>
      <w:r>
        <w:t xml:space="preserve">F. Phạm vi &amp; ý nghĩa</w:t>
      </w:r>
    </w:p>
    <w:p>
      <w:pPr>
        <w:pStyle w:val="FirstParagraph"/>
      </w:pPr>
      <w:r>
        <w:rPr>
          <w:bCs/>
          <w:b/>
        </w:rPr>
        <w:t xml:space="preserve">Q15. Phát hiện có khái quát ngoài châu Á không?</w:t>
      </w:r>
      <w:r>
        <w:t xml:space="preserve"> </w:t>
      </w:r>
      <w:r>
        <w:t xml:space="preserve">- Châu Á–Thái Bình Dương là</w:t>
      </w:r>
      <w:r>
        <w:t xml:space="preserve"> </w:t>
      </w:r>
      <w:r>
        <w:rPr>
          <w:bCs/>
          <w:b/>
        </w:rPr>
        <w:t xml:space="preserve">phòng thí nghiệm</w:t>
      </w:r>
      <w:r>
        <w:t xml:space="preserve"> </w:t>
      </w:r>
      <w:r>
        <w:t xml:space="preserve">với gradient thể chế cực rộng (Singapore → SIDS). Khung ICRV xây trên chỉ báo thể chế phổ quát (WGI) nên</w:t>
      </w:r>
      <w:r>
        <w:t xml:space="preserve"> </w:t>
      </w:r>
      <w:r>
        <w:rPr>
          <w:bCs/>
          <w:b/>
        </w:rPr>
        <w:t xml:space="preserve">chuyển dịch được</w:t>
      </w:r>
      <w:r>
        <w:t xml:space="preserve"> </w:t>
      </w:r>
      <w:r>
        <w:t xml:space="preserve">sang khu vực khác; đây là hướng nghiên cứu tương lai được nêu (Mục 5.5.4).</w:t>
      </w:r>
    </w:p>
    <w:p>
      <w:pPr>
        <w:pStyle w:val="BodyText"/>
      </w:pPr>
      <w:r>
        <w:rPr>
          <w:bCs/>
          <w:b/>
        </w:rPr>
        <w:t xml:space="preserve">Q16. Hàm ý chính sách cụ thể là gì?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Theo vùng</w:t>
      </w:r>
      <w:r>
        <w:t xml:space="preserve"> </w:t>
      </w:r>
      <w:r>
        <w:t xml:space="preserve">(Mục 5.4.5): vùng giữa (chuyển đổi) — gỡ rào cản mở rộng xuất khẩu dưới điểm uốn ~43%, lo điều phối trên điểm uốn; biên trên — năng lực là đòn bẩy nền; biên dưới/SIDS —</w:t>
      </w:r>
      <w:r>
        <w:t xml:space="preserve"> </w:t>
      </w:r>
      <w:r>
        <w:rPr>
          <w:bCs/>
          <w:b/>
        </w:rPr>
        <w:t xml:space="preserve">tránh bẫy quốc tế hóa cưỡng bức</w:t>
      </w:r>
      <w:r>
        <w:t xml:space="preserve">, ưu tiên đa dạng hóa + hạ tầng thương mại trước khi thúc xuất khẩu.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Ghi chú sử dụng: mỗi câu trả lời nên trình bày ≤ 90 giây, dẫn đúng số liệu và mục luận án; khi bị truy sâu về thống kê, quay về ba trụ: hình dạng &gt; mức, neo cấp gộp + meta, và tam giác hóa đa phương pháp.</w:t>
      </w:r>
    </w:p>
    <w:bookmarkEnd w:id="25"/>
    <w:bookmarkEnd w:id="26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276" w:lineRule="auto"/>
      <w:jc w:val="both"/>
    </w:pPr>
    <w:qFormat/>
    <w:rPr>
      <w:rFonts w:ascii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76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76" w:lineRule="auto"/>
      <w:jc w:val="both"/>
    </w:pPr>
    <w:rPr>
      <w:rFonts w:ascii="Times New Roman" w:eastAsia="Times New Roman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76" w:lineRule="auto"/>
    </w:pPr>
    <w:rPr>
      <w:color w:val="000000"/>
      <w:sz w:val="24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76" w:lineRule="auto"/>
      <w:jc w:val="both"/>
    </w:pPr>
    <w:rPr>
      <w:rFonts w:ascii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76" w:lineRule="auto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76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eastAsia="Times New Roman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 w:line="276" w:lineRule="auto"/>
      <w:jc w:val="both"/>
    </w:pPr>
    <w:rPr>
      <w:rFonts w:ascii="Times New Roman" w:eastAsia="Times New Roman" w:hAnsi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Figure" w:type="paragraph">
    <w:name w:val="Figure"/>
    <w:basedOn w:val="Normal"/>
    <w:pPr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276" w:lineRule="auto"/>
      <w:jc w:val="both"/>
    </w:pPr>
    <w:rPr>
      <w:rFonts w:ascii="Times New Roman" w:eastAsia="Times New Roman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2026-06-19T09:29:39Z</dcterms:created>
  <dcterms:modified xsi:type="dcterms:W3CDTF">2026-06-19T09:29:39Z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