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lockText"/>
      </w:pPr>
      <w:r>
        <w:rPr>
          <w:bCs/>
          <w:b/>
        </w:rPr>
        <w:t xml:space="preserve">Version:</w:t>
      </w:r>
      <w:r>
        <w:t xml:space="preserve"> </w:t>
      </w:r>
      <w:r>
        <w:t xml:space="preserve">Redesigned manuscript (2026-06-19), reframed from the earlier</w:t>
      </w:r>
      <w:r>
        <w:t xml:space="preserve"> </w:t>
      </w:r>
      <w:r>
        <w:t xml:space="preserve">“</w:t>
      </w:r>
      <w:r>
        <w:t xml:space="preserve">Forced Internationalization Penalty</w:t>
      </w:r>
      <w:r>
        <w:t xml:space="preserve">”</w:t>
      </w:r>
      <w:r>
        <w:t xml:space="preserve"> </w:t>
      </w:r>
      <w:r>
        <w:t xml:space="preserve">draft toward a scope-conditions contribution. All firm-level estimates are reproducible from</w:t>
      </w:r>
      <w:r>
        <w:t xml:space="preserve"> </w:t>
      </w:r>
      <w:r>
        <w:rPr>
          <w:rStyle w:val="VerbatimChar"/>
        </w:rPr>
        <w:t xml:space="preserve">p8/replication/data/p8_redesign_fullsample.csv</w:t>
      </w:r>
      <w:r>
        <w:t xml:space="preserve"> </w:t>
      </w:r>
      <w:r>
        <w:t xml:space="preserve">(built from the committed WBES</w:t>
      </w:r>
      <w:r>
        <w:t xml:space="preserve"> </w:t>
      </w:r>
      <w:r>
        <w:rPr>
          <w:rStyle w:val="VerbatimChar"/>
        </w:rPr>
        <w:t xml:space="preserve">.dta</w:t>
      </w:r>
      <w:r>
        <w:t xml:space="preserve">); design and verification in</w:t>
      </w:r>
      <w:r>
        <w:t xml:space="preserve"> </w:t>
      </w:r>
      <w:r>
        <w:rPr>
          <w:rStyle w:val="VerbatimChar"/>
        </w:rPr>
        <w:t xml:space="preserve">p8/P8_REDESIGN_2026-06.md</w:t>
      </w:r>
      <w:r>
        <w:t xml:space="preserve">.</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1,916 firms across eight Pacific small island developing states (SIDS) and Timor-Leste (2009–2025). The robust finding is that the canonical inverted-U</w:t>
      </w:r>
      <w:r>
        <w:t xml:space="preserve"> </w:t>
      </w:r>
      <w:r>
        <w:rPr>
          <w:bCs/>
          <w:b/>
        </w:rPr>
        <w:t xml:space="preserve">dissolves</w:t>
      </w:r>
      <w:r>
        <w:t xml:space="preserve">: across the full sample, neither the curvature term nor the export-intensity slope is statistically distinguishable from zero (wild-cluster bootstrap p = .21 and .25, respectively), in sharp contrast to the sharp inverted-U observed in mainland transition economies. A weaker, suggestive pattern is that once firm capability is held constant the curvature becomes positive and marginally significant (wild-cluster bootstrap p = .07),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.04)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1,916 firms across eight Pacific SIDS and Timor-Leste,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w:t>
      </w:r>
      <w:r>
        <w:t xml:space="preserve"> </w:t>
      </w:r>
      <w:r>
        <w:rPr>
          <w:iCs/>
          <w:i/>
        </w:rPr>
        <w:t xml:space="preserve">inverts</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eight Pacific small island developing states—Fiji, Kiribati, Papua New Guinea, Samoa, Solomon Islands, Tonga, and Vanuatu—together with Timor-Leste, across all available waves from 2009 to 2025. After requiring non-missing labor productivity and export intensity, the analytic sample comprises</w:t>
      </w:r>
      <w:r>
        <w:t xml:space="preserve"> </w:t>
      </w:r>
      <w:r>
        <w:rPr>
          <w:bCs/>
          <w:b/>
        </w:rPr>
        <w:t xml:space="preserve">1,916 firms across eight economies and thirteen country-year cells</w:t>
      </w:r>
      <w:r>
        <w:t xml:space="preserve">. Consistent with the structural argument, the export profile is exceptionally thin: only</w:t>
      </w:r>
      <w:r>
        <w:t xml:space="preserve"> </w:t>
      </w:r>
      <w:r>
        <w:rPr>
          <w:bCs/>
          <w:b/>
        </w:rPr>
        <w:t xml:space="preserve">13.9%</w:t>
      </w:r>
      <w:r>
        <w:t xml:space="preserve"> </w:t>
      </w:r>
      <w:r>
        <w:t xml:space="preserve">of firms export, mean FSTS is</w:t>
      </w:r>
      <w:r>
        <w:t xml:space="preserve"> </w:t>
      </w:r>
      <w:r>
        <w:rPr>
          <w:bCs/>
          <w:b/>
        </w:rPr>
        <w:t xml:space="preserve">0.062</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Internationalization intensity (FSTS) is total exports as a share of sales, (d3b + d3c)/100, centered within sample. Technological capability (TCI) is a standardized index of quality certification and foreign-technology licensing; digital adoption (DAI) is the standardized website-presence indicator—the Tier-1 measure comparably available across SIDS waves. Firm size (log employment) is a control.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eight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50-economy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−0.161, wild-bootstrap p = .25). Adding the quadratic term does not recover an inverted-U: the curvature coefficient is small,</w:t>
      </w:r>
      <w:r>
        <w:t xml:space="preserve"> </w:t>
      </w:r>
      <w:r>
        <w:rPr>
          <w:bCs/>
          <w:b/>
        </w:rPr>
        <w:t xml:space="preserve">positive</w:t>
      </w:r>
      <w:r>
        <w:t xml:space="preserve">, and non-significant (M2: β₂ = +0.553, wild-bootstrap p = .21; β₁ = −0.561, p = .25).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labor productivity, Pacific SIDS (economy + year FE; wild-cluster bootstrap p, G = 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right"/>
            </w:pPr>
            <w:r>
              <w:t xml:space="preserve">M0</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w:t>
            </w:r>
          </w:p>
        </w:tc>
        <w:tc>
          <w:tcPr/>
          <w:p>
            <w:pPr>
              <w:pStyle w:val="Compact"/>
              <w:jc w:val="right"/>
            </w:pPr>
            <w:r>
              <w:t xml:space="preserve">−0.161 (.25)</w:t>
            </w:r>
          </w:p>
        </w:tc>
        <w:tc>
          <w:tcPr/>
          <w:p>
            <w:pPr>
              <w:pStyle w:val="Compact"/>
              <w:jc w:val="right"/>
            </w:pPr>
            <w:r>
              <w:t xml:space="preserve">−0.561 (.25)</w:t>
            </w:r>
          </w:p>
        </w:tc>
        <w:tc>
          <w:tcPr/>
          <w:p>
            <w:pPr>
              <w:pStyle w:val="Compact"/>
              <w:jc w:val="right"/>
            </w:pPr>
            <w:r>
              <w:t xml:space="preserve">−0.860 (.)</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w:t>
            </w:r>
          </w:p>
        </w:tc>
        <w:tc>
          <w:tcPr/>
          <w:p>
            <w:pPr>
              <w:pStyle w:val="Compact"/>
              <w:jc w:val="right"/>
            </w:pPr>
            <w:r>
              <w:t xml:space="preserve">+0.553 (.21)</w:t>
            </w:r>
          </w:p>
        </w:tc>
        <w:tc>
          <w:tcPr/>
          <w:p>
            <w:pPr>
              <w:pStyle w:val="Compact"/>
              <w:jc w:val="right"/>
            </w:pPr>
            <w:r>
              <w:t xml:space="preserve">+0.844 (.07)</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+0.141 (.04)</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+0.105 (—)</w:t>
            </w:r>
          </w:p>
        </w:tc>
      </w:tr>
      <w:tr>
        <w:tc>
          <w:tcPr/>
          <w:p>
            <w:pPr>
              <w:pStyle w:val="Compact"/>
              <w:jc w:val="left"/>
            </w:pPr>
            <w:r>
              <w:t xml:space="preserve">ln(employment)</w:t>
            </w:r>
          </w:p>
        </w:tc>
        <w:tc>
          <w:tcPr/>
          <w:p>
            <w:pPr>
              <w:pStyle w:val="Compact"/>
              <w:jc w:val="right"/>
            </w:pPr>
            <w:r>
              <w:t xml:space="preserve">+0.242</w:t>
            </w:r>
          </w:p>
        </w:tc>
        <w:tc>
          <w:tcPr/>
          <w:p>
            <w:pPr>
              <w:pStyle w:val="Compact"/>
              <w:jc w:val="right"/>
            </w:pPr>
            <w:r>
              <w:t xml:space="preserve">+0.244</w:t>
            </w:r>
          </w:p>
        </w:tc>
        <w:tc>
          <w:tcPr/>
          <w:p>
            <w:pPr>
              <w:pStyle w:val="Compact"/>
              <w:jc w:val="right"/>
            </w:pPr>
            <w:r>
              <w:t xml:space="preserve">+0.245</w:t>
            </w:r>
          </w:p>
        </w:tc>
        <w:tc>
          <w:tcPr/>
          <w:p>
            <w:pPr>
              <w:pStyle w:val="Compact"/>
              <w:jc w:val="right"/>
            </w:pPr>
            <w:r>
              <w:t xml:space="preserve">+0.195</w:t>
            </w:r>
          </w:p>
        </w:tc>
      </w:tr>
      <w:tr>
        <w:tc>
          <w:tcPr/>
          <w:p>
            <w:pPr>
              <w:pStyle w:val="Compact"/>
              <w:jc w:val="left"/>
            </w:pPr>
            <w:r>
              <w:t xml:space="preserve">N</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1,882</w:t>
            </w:r>
          </w:p>
        </w:tc>
      </w:tr>
    </w:tbl>
    <w:p>
      <w:pPr>
        <w:pStyle w:val="BodyText"/>
      </w:pPr>
      <w:r>
        <w:rPr>
          <w:iCs/>
          <w:i/>
        </w:rPr>
        <w:t xml:space="preserve">Wild-cluster bootstrap p-values in parentheses;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a coefficient whose inference is reported via the curvature term it accompanies.</w:t>
      </w:r>
    </w:p>
    <w:bookmarkEnd w:id="30"/>
    <w:bookmarkStart w:id="34" w:name="X138d32768b4d5f2d261c9a32b4da90ddb281392"/>
    <w:p>
      <w:pPr>
        <w:pStyle w:val="Heading3"/>
      </w:pPr>
      <w:r>
        <w:t xml:space="preserve">4.2 A suggestive conditional convexity (Proposition 2)</w:t>
      </w:r>
    </w:p>
    <w:p>
      <w:pPr>
        <w:pStyle w:val="FirstParagraph"/>
      </w:pPr>
      <w:r>
        <w:t xml:space="preserve">Once technological capability and digital adoption are held constant (M3), the curvature turns positive and</w:t>
      </w:r>
      <w:r>
        <w:t xml:space="preserve"> </w:t>
      </w:r>
      <w:r>
        <w:rPr>
          <w:bCs/>
          <w:b/>
        </w:rPr>
        <w:t xml:space="preserve">marginally significant</w:t>
      </w:r>
      <w:r>
        <w:t xml:space="preserve"> </w:t>
      </w:r>
      <w:r>
        <w:t xml:space="preserve">(β₂ = +0.844, wild-bootstrap p = .07), with a negative linear term (β₁ = −0.860).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334000" cy="2402940"/>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2940"/>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+0.141, wild-bootstrap p = .04); digital adoption is positive but weaker (DAI: β = +0.105).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eight-economy sample yields the null-to-convex pattern reported above; with only three to nine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eight Pacific island states and Timor-Leste,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2026-06-19T09:23:57Z</dcterms:created>
  <dcterms:modified xsi:type="dcterms:W3CDTF">2026-06-19T09:23:57Z</dcterms:modified>
</cp:coreProperties>
</file>

<file path=docProps/custom.xml><?xml version="1.0" encoding="utf-8"?>
<Properties xmlns="http://schemas.openxmlformats.org/officeDocument/2006/custom-properties" xmlns:vt="http://schemas.openxmlformats.org/officeDocument/2006/docPropsVTypes"/>
</file>