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Can Tho University / Huong Do Thi Thuy</w:t>
      </w:r>
      <w:r>
        <w:t xml:space="preserve"> </w:t>
      </w:r>
      <w:r>
        <w:rPr>
          <w:bCs/>
          <w:b/>
        </w:rPr>
        <w:t xml:space="preserve">Phan Anh Tú</w:t>
      </w:r>
      <w:r>
        <w:t xml:space="preserve">, Can Tho University</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w:t>
      </w:r>
    </w:p>
    <w:p>
      <w:pPr>
        <w:pStyle w:val="BodyText"/>
      </w:pPr>
      <w:r>
        <w:rPr>
          <w:bCs/>
          <w:b/>
        </w:rPr>
        <w:t xml:space="preserve">Design/methodology/approach.</w:t>
      </w:r>
      <w:r>
        <w:t xml:space="preserve"> </w:t>
      </w:r>
      <w:r>
        <w:t xml:space="preserve">PRISMA 2020 backward and forward citation tracking of five anchor meta-analyses with hand-search assembles</w:t>
      </w:r>
      <w:r>
        <w:t xml:space="preserve"> </w:t>
      </w:r>
      <w:r>
        <w:rPr>
          <w:iCs/>
          <w:i/>
        </w:rPr>
        <w:t xml:space="preserve">k</w:t>
      </w:r>
      <w:r>
        <w:t xml:space="preserve"> </w:t>
      </w:r>
      <w:r>
        <w:t xml:space="preserve">= 238 studies,</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under OSF pre-registration; six bias tests bound the corrected effect.</w:t>
      </w:r>
    </w:p>
    <w:p>
      <w:pPr>
        <w:pStyle w:val="BodyText"/>
      </w:pPr>
      <w:r>
        <w:rPr>
          <w:bCs/>
          <w:b/>
        </w:rPr>
        <w:t xml:space="preserve">Findings.</w:t>
      </w:r>
      <w:r>
        <w:t xml:space="preserve"> </w:t>
      </w:r>
      <w:r>
        <w:t xml:space="preserve">Pooled</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Full-sample ICRV omnibus</w:t>
      </w:r>
      <w:r>
        <w:t xml:space="preserve"> </w:t>
      </w:r>
      <w:r>
        <w:rPr>
          <w:iCs/>
          <w:i/>
        </w:rPr>
        <w:t xml:space="preserve">Q</w:t>
      </w:r>
      <w:r>
        <w:t xml:space="preserve">_M = 17.35 (</w:t>
      </w:r>
      <w:r>
        <w:rPr>
          <w:iCs/>
          <w:i/>
        </w:rPr>
        <w:t xml:space="preserve">p</w:t>
      </w:r>
      <w:r>
        <w:t xml:space="preserve"> </w:t>
      </w:r>
      <w:r>
        <w:t xml:space="preserve">= .002) is not robust: drop-Frontier yields</w:t>
      </w:r>
      <w:r>
        <w:t xml:space="preserve"> </w:t>
      </w:r>
      <w:r>
        <w:rPr>
          <w:iCs/>
          <w:i/>
        </w:rPr>
        <w:t xml:space="preserve">Q</w:t>
      </w:r>
      <w:r>
        <w:t xml:space="preserve">_M = 1.49 (</w:t>
      </w:r>
      <w:r>
        <w:rPr>
          <w:iCs/>
          <w:i/>
        </w:rPr>
        <w:t xml:space="preserve">p</w:t>
      </w:r>
      <w:r>
        <w:t xml:space="preserve"> </w:t>
      </w:r>
      <w:r>
        <w:t xml:space="preserve">= .68); cDAI and DPL are non-significant. Six bias tests bound the bias-corrected effect: trim-and-fill imputes</w:t>
      </w:r>
      <w:r>
        <w:t xml:space="preserve"> </w:t>
      </w:r>
      <w:r>
        <w:rPr>
          <w:iCs/>
          <w:i/>
        </w:rPr>
        <w:t xml:space="preserve">k</w:t>
      </w:r>
      <w:r>
        <w:t xml:space="preserve"> </w:t>
      </w:r>
      <w:r>
        <w:t xml:space="preserve">= 58 and cuts</w:t>
      </w:r>
      <w:r>
        <w:t xml:space="preserve"> </w:t>
      </w:r>
      <w:r>
        <w:rPr>
          <w:iCs/>
          <w:i/>
        </w:rPr>
        <w:t xml:space="preserve">r</w:t>
      </w:r>
      <w:r>
        <w:t xml:space="preserve"> </w:t>
      </w:r>
      <w:r>
        <w:t xml:space="preserve">to .035; PET-PEESE yields</w:t>
      </w:r>
      <w:r>
        <w:t xml:space="preserve"> </w:t>
      </w:r>
      <w:r>
        <w:rPr>
          <w:iCs/>
          <w:i/>
        </w:rPr>
        <w:t xml:space="preserve">r</w:t>
      </w:r>
      <w:r>
        <w:t xml:space="preserve"> </w:t>
      </w:r>
      <w:r>
        <w:t xml:space="preserve">= .061; Vevea-Hedges selection model returns</w:t>
      </w:r>
      <w:r>
        <w:t xml:space="preserve"> </w:t>
      </w:r>
      <w:r>
        <w:rPr>
          <w:iCs/>
          <w:i/>
        </w:rPr>
        <w:t xml:space="preserve">r</w:t>
      </w:r>
      <w:r>
        <w:t xml:space="preserve"> </w:t>
      </w:r>
      <w:r>
        <w:t xml:space="preserve">= .077 with model-based selection evidence (LRT</w:t>
      </w:r>
      <w:r>
        <w:t xml:space="preserve"> </w:t>
      </w:r>
      <w:r>
        <w:rPr>
          <w:iCs/>
          <w:i/>
        </w:rPr>
        <w:t xml:space="preserve">p</w:t>
      </w:r>
      <w:r>
        <w:t xml:space="preserve"> </w:t>
      </w:r>
      <w:r>
        <w:t xml:space="preserve">= .002). True effect is best read as interval [.035, .077], not a point.</w:t>
      </w:r>
    </w:p>
    <w:p>
      <w:pPr>
        <w:pStyle w:val="BodyText"/>
      </w:pPr>
      <w:r>
        <w:rPr>
          <w:bCs/>
          <w:b/>
        </w:rPr>
        <w:t xml:space="preserve">Originality/value.</w:t>
      </w:r>
      <w:r>
        <w:t xml:space="preserve"> </w:t>
      </w:r>
      <w:r>
        <w:t xml:space="preserve">First three-level MARA and first pre-registered cDAI/ICRV/DPL meta-test in the I-P literature; first multi-method bounding of publication-bias attenuation in this 40-year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 795 duplicates removed → 1,397 L1 excluded →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§3.7).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 .025 and .500)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we interpret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 .012);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 .025 and .500):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 .002), confirming model-based evidence of publication selection. The estimated selection weights are</w:t>
      </w:r>
      <w:r>
        <w:t xml:space="preserve"> </w:t>
      </w:r>
      <w:r>
        <w:rPr>
          <w:iCs/>
          <w:i/>
        </w:rPr>
        <w:t xml:space="preserve">w</w:t>
      </w:r>
      <w:r>
        <w:t xml:space="preserve">[(0, .025]] = 1.000 (reference: one-tailed significant positives) and</w:t>
      </w:r>
      <w:r>
        <w:t xml:space="preserve"> </w:t>
      </w:r>
      <w:r>
        <w:rPr>
          <w:iCs/>
          <w:i/>
        </w:rPr>
        <w:t xml:space="preserve">w</w:t>
      </w:r>
      <w:r>
        <w:t xml:space="preserve">[(.025, .500]]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 .001; Vevea-Hedges LRT</w:t>
      </w:r>
      <w:r>
        <w:t xml:space="preserve"> </w:t>
      </w:r>
      <w:r>
        <w:rPr>
          <w:iCs/>
          <w:i/>
        </w:rPr>
        <w:t xml:space="preserve">p</w:t>
      </w:r>
      <w:r>
        <w:t xml:space="preserve"> </w:t>
      </w:r>
      <w:r>
        <w:t xml:space="preserve">= .002) and that the true population effect lies in the interval bounded by these estimates —</w:t>
      </w:r>
      <w:r>
        <w:t xml:space="preserve"> </w:t>
      </w:r>
      <w:r>
        <w:rPr>
          <w:iCs/>
          <w:i/>
        </w:rPr>
        <w:t xml:space="preserve">r</w:t>
      </w:r>
      <w:r>
        <w:t xml:space="preserve"> </w:t>
      </w:r>
      <w:r>
        <w:t xml:space="preserve">between approximately 0.035 and 0.077 —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9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w:t>
      </w:r>
      <w:r>
        <w:t xml:space="preserve"> </w:t>
      </w:r>
      <w:hyperlink r:id="rId81">
        <w:r>
          <w:rPr>
            <w:rStyle w:val="Hyperlink"/>
          </w:rPr>
          <w:t xml:space="preserve">https://doi.org/10.1002/jrsm.5</w:t>
        </w:r>
      </w:hyperlink>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w:t>
      </w:r>
      <w:r>
        <w:t xml:space="preserve"> </w:t>
      </w:r>
      <w:hyperlink r:id="rId82">
        <w:r>
          <w:rPr>
            <w:rStyle w:val="Hyperlink"/>
          </w:rPr>
          <w:t xml:space="preserve">https://doi.org/10.3102/10769986021004299</w:t>
        </w:r>
      </w:hyperlink>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3">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4">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w:t>
      </w:r>
      <w:r>
        <w:t xml:space="preserve"> </w:t>
      </w:r>
      <w:hyperlink r:id="rId85">
        <w:r>
          <w:rPr>
            <w:rStyle w:val="Hyperlink"/>
          </w:rPr>
          <w:t xml:space="preserve">https://doi.org/10.1007/s11121-021-01246-3</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w:t>
      </w:r>
      <w:r>
        <w:t xml:space="preserve"> </w:t>
      </w:r>
      <w:hyperlink r:id="rId86">
        <w:r>
          <w:rPr>
            <w:rStyle w:val="Hyperlink"/>
          </w:rPr>
          <w:t xml:space="preserve">https://doi.org/10.1002/sim.1461</w:t>
        </w:r>
      </w:hyperlink>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w:t>
      </w:r>
      <w:r>
        <w:t xml:space="preserve"> </w:t>
      </w:r>
      <w:hyperlink r:id="rId87">
        <w:r>
          <w:rPr>
            <w:rStyle w:val="Hyperlink"/>
          </w:rPr>
          <w:t xml:space="preserve">https://doi.org/10.1037/met0000011</w:t>
        </w:r>
      </w:hyperlink>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w:t>
      </w:r>
      <w:r>
        <w:t xml:space="preserve"> </w:t>
      </w:r>
      <w:hyperlink r:id="rId88">
        <w:r>
          <w:rPr>
            <w:rStyle w:val="Hyperlink"/>
          </w:rPr>
          <w:t xml:space="preserve">https://doi.org/10.1007/BF02294384</w:t>
        </w:r>
      </w:hyperlink>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90"/>
    <w:bookmarkStart w:id="91"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91"/>
    <w:bookmarkEnd w:id="9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1" Target="https://doi.org/10.1002/jrsm.5" TargetMode="External" /><Relationship Type="http://schemas.openxmlformats.org/officeDocument/2006/relationships/hyperlink" Id="rId86" Target="https://doi.org/10.1002/sim.1461" TargetMode="External" /><Relationship Type="http://schemas.openxmlformats.org/officeDocument/2006/relationships/hyperlink" Id="rId88" Target="https://doi.org/10.1007/BF02294384" TargetMode="External" /><Relationship Type="http://schemas.openxmlformats.org/officeDocument/2006/relationships/hyperlink" Id="rId85" Target="https://doi.org/10.1007/s11121-021-01246-3" TargetMode="External" /><Relationship Type="http://schemas.openxmlformats.org/officeDocument/2006/relationships/hyperlink" Id="rId87" Target="https://doi.org/10.1037/met0000011" TargetMode="External" /><Relationship Type="http://schemas.openxmlformats.org/officeDocument/2006/relationships/hyperlink" Id="rId84" Target="https://doi.org/10.1136/bmj.n71" TargetMode="External" /><Relationship Type="http://schemas.openxmlformats.org/officeDocument/2006/relationships/hyperlink" Id="rId82" Target="https://doi.org/10.3102/10769986021004299" TargetMode="External" /><Relationship Type="http://schemas.openxmlformats.org/officeDocument/2006/relationships/hyperlink" Id="rId83"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9"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1" Target="https://doi.org/10.1002/jrsm.5" TargetMode="External" /><Relationship Type="http://schemas.openxmlformats.org/officeDocument/2006/relationships/hyperlink" Id="rId86" Target="https://doi.org/10.1002/sim.1461" TargetMode="External" /><Relationship Type="http://schemas.openxmlformats.org/officeDocument/2006/relationships/hyperlink" Id="rId88" Target="https://doi.org/10.1007/BF02294384" TargetMode="External" /><Relationship Type="http://schemas.openxmlformats.org/officeDocument/2006/relationships/hyperlink" Id="rId85" Target="https://doi.org/10.1007/s11121-021-01246-3" TargetMode="External" /><Relationship Type="http://schemas.openxmlformats.org/officeDocument/2006/relationships/hyperlink" Id="rId87" Target="https://doi.org/10.1037/met0000011" TargetMode="External" /><Relationship Type="http://schemas.openxmlformats.org/officeDocument/2006/relationships/hyperlink" Id="rId84" Target="https://doi.org/10.1136/bmj.n71" TargetMode="External" /><Relationship Type="http://schemas.openxmlformats.org/officeDocument/2006/relationships/hyperlink" Id="rId82" Target="https://doi.org/10.3102/10769986021004299" TargetMode="External" /><Relationship Type="http://schemas.openxmlformats.org/officeDocument/2006/relationships/hyperlink" Id="rId83"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9"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2026-05-31T11:41:15Z</dcterms:created>
  <dcterms:modified xsi:type="dcterms:W3CDTF">2026-05-31T11:41:15Z</dcterms:modified>
</cp:coreProperties>
</file>

<file path=docProps/custom.xml><?xml version="1.0" encoding="utf-8"?>
<Properties xmlns="http://schemas.openxmlformats.org/officeDocument/2006/custom-properties" xmlns:vt="http://schemas.openxmlformats.org/officeDocument/2006/docPropsVTypes"/>
</file>