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được đề xuất như một điều kiện biên rõ ràng của mô hình chữ U ngược I-P: khi cả ba tiền đề cấu trúc (thị trường nội địa khả dụng, chi phí thương mại quản lý được, và thể chế hỗ trợ chức năng) đồng thời bị vi phạm, dạng hàm phi tuyến truyền thống chuyển sang quan hệ âm đơn điệu. FIP nối tiếp dòng nghiên cứu nền tảng về SIDS của Briguglio (1995) và mô hình MIRAB của Bertram (2006); đóng góp của luận án là cung cấp ước lượng định lượng đầu tiên (β = −0,404, p =,032) trên dữ liệu WBES kết nối ba ràng buộc SIDS này với dấu của hệ số FSTS trong hồi quy I-P ở cấp doanh nghiệp.</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and Indian Ocean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phát triển một</w:t>
      </w:r>
      <w:r>
        <w:t xml:space="preserve"> </w:t>
      </w:r>
      <w:r>
        <w:rPr>
          <w:bCs/>
          <w:b/>
        </w:rPr>
        <w:t xml:space="preserve">khung tích hợp phân tầng ba lớp CIMT–ICRV–CDCM</w:t>
      </w:r>
      <w:r>
        <w:t xml:space="preserve"> </w:t>
      </w:r>
      <w:r>
        <w:t xml:space="preserve">(Chương 2 §2.5.1–2.5.4), trong đó</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được khẳng định trong văn liệu IB (rent protection, liability-of-foreignness attenuation, institutional-void amplification);</w:t>
      </w:r>
      <w:r>
        <w:t xml:space="preserve"> </w:t>
      </w:r>
      <w:r>
        <w:rPr>
          <w:bCs/>
          <w:b/>
        </w:rPr>
        <w:t xml:space="preserve">ICRV (Institutional Context Regime Variation)</w:t>
      </w:r>
      <w:r>
        <w:t xml:space="preserve"> </w:t>
      </w:r>
      <w:r>
        <w:t xml:space="preserve">là taxonomy phân loại bối cảnh thể chế thành sáu chế độ con; và</w:t>
      </w:r>
      <w:r>
        <w:t xml:space="preserve"> </w:t>
      </w:r>
      <w:r>
        <w:rPr>
          <w:bCs/>
          <w:b/>
        </w:rPr>
        <w:t xml:space="preserve">CDCM (Context-Contingent Digital Capability Model)</w:t>
      </w:r>
      <w:r>
        <w:t xml:space="preserve"> </w:t>
      </w:r>
      <w:r>
        <w:t xml:space="preserve">là biểu hiện thực nghiệm cấp doanh nghiệp dưới điều kiện số hóa. Khung này tích hợp bốn lý thuyết kinh điển (Uppsala, RBV, lý thuyết thể chế, lý thuyết Bậc trên) cùng lớp mở rộng năng lực số vào một kiến trúc thống nhất nội tại, trong đó mỗi lớp giải thích một dạng dị biệt khác nhau của quan hệ I-P, không phải là sự ghép nối cơ học các lý thuyết.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là chính thức kết nối ba ràng buộc cấu trúc của các quốc đảo nhỏ Thái Bình Dương (thị trường nội địa quá nhỏ, chi phí thương mại cực cao, hỗ trợ thể chế thiếu hụt) với dấu của hệ số FSTS trong hồi quy I-P ở cấp doanh nghiệp, đặt tên cho hiện tượng này là gánh nặng quốc tế hóa bắt buộc (forced internationalization penalty, FIP). Khái niệm không phải mới hoàn toàn: cấu trúc kinh tế ba ràng buộc của SIDS đã được phân tích trong các nghiên cứu nền tảng (Briguglio, 1995; mô hình MIRAB của Bertram, 2006). Đóng góp tăng thêm của luận án là (i) cung cấp ước lượng định lượng đầu tiên (β = −0,404, p =,032) trên dữ liệu WBES về dấu âm trong hồi quy I-P, (ii) đặt FIP làm điều kiện biên rõ ràng cho mô hình chữ U ngược (quan hệ chuyển sang âm đơn điệu không có điểm uốn khi cả ba ràng buộc đồng thời bị vi phạm), và (iii) qua đó cho thấy chữ U ngược không phải quy luật phổ quát mà là quan hệ có điều kiện, mở hướng nghiên cứu về điều kiện biên của các lý thuyết quốc tế hóa.</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2026-06-03T20:19:20Z</dcterms:created>
  <dcterms:modified xsi:type="dcterms:W3CDTF">2026-06-03T20:19:20Z</dcterms:modified>
</cp:coreProperties>
</file>

<file path=docProps/custom.xml><?xml version="1.0" encoding="utf-8"?>
<Properties xmlns="http://schemas.openxmlformats.org/officeDocument/2006/custom-properties" xmlns:vt="http://schemas.openxmlformats.org/officeDocument/2006/docPropsVTypes"/>
</file>