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 deeper firm-internal stocks of learning, problem-solving, and innovation capacity (Lall, 1992) — and foundational digital adoption —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 adjusting products and processes to meet foreign requirements and integrating licensed technology into production — and, even when it does not alter the curvature of the I–P relationship, should raise the productivity floor among exposed firms. The primary TCI_z is built from two items — internationally recognised quality certification (b8) and foreign-licensed technology (e6) —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w:t>
      </w:r>
      <w:r>
        <w:t xml:space="preserve"> </w:t>
      </w:r>
      <w:r>
        <w:rPr>
          <w:iCs/>
          <w:i/>
        </w:rPr>
        <w:t xml:space="preserve">stage-dependent coordination complexity</w:t>
      </w:r>
      <w:r>
        <w:t xml:space="preserve"> </w:t>
      </w:r>
      <w:r>
        <w:t xml:space="preserve">(at high export intensity, the binding friction is the absence of deeper Tier 2–3 process-integration that a single Tier-1 website cannot support) and</w:t>
      </w:r>
      <w:r>
        <w:t xml:space="preserve"> </w:t>
      </w:r>
      <w:r>
        <w:rPr>
          <w:iCs/>
          <w:i/>
        </w:rPr>
        <w:t xml:space="preserve">construct obsolescence under population diffusion</w:t>
      </w:r>
      <w:r>
        <w:t xml:space="preserve"> </w:t>
      </w:r>
      <w:r>
        <w:t xml:space="preserve">(as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2930266"/>
            <wp:effectExtent b="0" l="0" r="0" t="0"/>
            <wp:docPr descr="Figure 1: Conceptual model" title="" id="26" name="Picture"/>
            <a:graphic>
              <a:graphicData uri="http://schemas.openxmlformats.org/drawingml/2006/picture">
                <pic:pic>
                  <pic:nvPicPr>
                    <pic:cNvPr descr="figures/vietnam/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 strong in 2009, null in 2015, re-emerging in 2023 —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vietnam/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 coordination capacity, contract enforcement, and trade-finance access —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 digital capability reversing the curvature —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 a selective exit that left a residual cohort disproportionately concentrated in labour-intensive, OEM-dependent assembly operations, for which a basic website functions as a digital pamphlet rather than a productivity-enabling coordination tool. Reinforced by proxy obsolescence — by 2015 website ownership had diffused sufficiently that c22b could no longer separate digitally capable exporters from routine web presence —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 foreign-market intelligence, quality certification, entry-cost financing —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 foreign-licensed technology, certification systems, process integration with foreign principals —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 the Paternoster z-tests distinguish the DAI fall and recovery, but most other cross-wave differences are marginal —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 coordination capacity, contract enforcement, and trade-finance access —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During the preparation of this work, the author(s) used generative AI-assisted tools solely for copy-editing — to improve the clarity, grammar, and structure of the author(s)' own original text. No generative AI was used to create or draft new substantive content. In accordance with the journal's policy, the author(s) will specify the exact name and version of the AI tool(s) used at the point of submission. [Author: insert tool name and version.] All conceptual framing, hypothesis development, empirical analysis, results interpretation, and final wording were authored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2026-06-07T17:54:53Z</dcterms:created>
  <dcterms:modified xsi:type="dcterms:W3CDTF">2026-06-07T17:54:53Z</dcterms:modified>
</cp:coreProperties>
</file>

<file path=docProps/custom.xml><?xml version="1.0" encoding="utf-8"?>
<Properties xmlns="http://schemas.openxmlformats.org/officeDocument/2006/custom-properties" xmlns:vt="http://schemas.openxmlformats.org/officeDocument/2006/docPropsVTypes"/>
</file>