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4a5dd1ba05c234115ca6616c58ff31b4c76ca5"/>
    <w:p>
      <w:pPr>
        <w:pStyle w:val="Heading1"/>
      </w:pPr>
      <w:r>
        <w:t xml:space="preserve">Tables — submitted as a separate file (JED requirement)</w:t>
      </w:r>
    </w:p>
    <w:p>
      <w:pPr>
        <w:pStyle w:val="FirstParagraph"/>
      </w:pPr>
      <w:r>
        <w:rPr>
          <w:iCs/>
          <w:i/>
        </w:rPr>
        <w:t xml:space="preserve">Position of each table is marked in the main text as "[Insert Table I about here]", etc. Tables are numbered in Roman numerals. lnLP = log labour productivity; FSTS = direct-export intensity; TCI_z, DAI_z = within-wave z-standardised composites; HC1 robust standard errors throughout.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I.</w:t>
      </w:r>
      <w:r>
        <w:t xml:space="preserve"> </w:t>
      </w:r>
      <w:r>
        <w:t xml:space="preserve">Variable definitions and WBES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WBES item(s)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d2,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ln(annual sales PPP / permanent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 / 100: direct-export intensity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FSTS_c, FSTS_c²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mean-centred and squared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inverted-U (H1)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b8, 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z of mean(quality certification, foreign-licensed technology)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Technological capability (H2)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z of website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adoption, Tier-1 (H4, 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ln(permanent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year − year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any foreign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a4b / a4a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1-digit ISIC (a4b 2009/2015; a4a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 / 2015 / 2023 (pooled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b8, e6, c22b recoded to binary 1/0; composites standardised within wave. TP* = −β₁/(2β₂), confirmed by the Lind–Mehlum (2010) u-test. WBES −9 treated as missing; listwise deletion. Source: WBES Vietnam 2009/2015/2023.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II.</w:t>
      </w:r>
      <w:r>
        <w:t xml:space="preserve"> </w:t>
      </w:r>
      <w:r>
        <w:t xml:space="preserve">Analytic-sample summary statistics by wave — mean (SD).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 (N=989)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(N=956)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(N=1,013)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(N=2,958)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19.412 (1.307)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20.042 (1.460)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20.549 (1.474)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20.005 (1.491)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 (0.337)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 (0.283)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 (0.311)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 (0.312)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Exporter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 (0.305)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 (0.295)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 (0.276)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 (0.292)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 (website)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 (0.495)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 (0.500)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 (0.500)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0.469 (0.499)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 emp.)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4.067 (1.493)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3.629 (1.476)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3.578 (1.539)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3.758 (1.519)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 (11.3)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 (9.6)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 (7.9)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 (9.7)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(share)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TCI_z, DAI_z z-standardised within wave; listwise deletion; WBES −9 missing. Source: WBES Vietnam; authors' calculations.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III.</w:t>
      </w:r>
      <w:r>
        <w:t xml:space="preserve"> </w:t>
      </w:r>
      <w:r>
        <w:t xml:space="preserve">Focal coefficients by wave and pooled (OLS, HC1). Significance: *** p&lt;.01, ** p&lt;.05, * p&lt;.10.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(M2)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FSTS_c² (M2)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−1.774***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−2.115***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−1.686***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−1.909***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Lind–Mehlum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Turning point (% FSTS)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 direct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 direct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× TCI_z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−0.579*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−0.587***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moderation, M3 joint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× DAI_z (M8)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−0.912**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moderation, M8 joint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Exporter-only FSTS_c² (Panel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−0.200 (p=.660)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β reported; full SEs and the M0–M8 sequence are in the replication package. Exporter-only sub-sample pooled N = 669; its non-significant quadratic term indicates the full-sample inverted-U is driven by the participation margin. Robustness panels (A–K): Supplementary Material.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2026-06-07T17:54:53Z</dcterms:created>
  <dcterms:modified xsi:type="dcterms:W3CDTF">2026-06-07T17:54:53Z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