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upplementary-material"/>
    <w:p>
      <w:pPr>
        <w:pStyle w:val="Heading1"/>
      </w:pPr>
      <w:r>
        <w:t xml:space="preserve">Supplementary Material</w:t>
      </w:r>
    </w:p>
    <w:p>
      <w:pPr>
        <w:pStyle w:val="FirstParagraph"/>
      </w:pPr>
      <w:r>
        <w:rPr>
          <w:bCs/>
          <w:b/>
        </w:rPr>
        <w:t xml:space="preserve">Paper:</w:t>
      </w:r>
      <w:r>
        <w:t xml:space="preserve"> </w:t>
      </w:r>
      <w:r>
        <w:t xml:space="preserve">Revisiting the Internationalisation–Performance Relationship in an Emerging Market: The Roles of Technological Capability and Foundational Digital Adoption</w:t>
      </w:r>
    </w:p>
    <w:p>
      <w:pPr>
        <w:pStyle w:val="BodyText"/>
      </w:pPr>
      <w:r>
        <w:rPr>
          <w:iCs/>
          <w:i/>
        </w:rPr>
        <w:t xml:space="preserve">This online supplement (hosted on Emerald Insight) contains the full robustness analyses, the wave-specific predicted-productivity figures, the pooled marginal-effect table, and extended construct-tier and mechanism notes referenced in the main text. It is not copy-edited or typeset by the publisher; content is the authors' responsibility.</w:t>
      </w:r>
    </w:p>
    <w:p>
      <w:r>
        <w:pict>
          <v:rect style="width:0;height:1.5pt" o:hralign="center" o:hrstd="t" o:hr="t"/>
        </w:pict>
      </w:r>
    </w:p>
    <w:bookmarkStart w:id="20" w:name="Xd5a444f26448ee440358dfb2ed0894594a7ba90"/>
    <w:p>
      <w:pPr>
        <w:pStyle w:val="Heading2"/>
      </w:pPr>
      <w:r>
        <w:t xml:space="preserve">S1. Extended mechanism note (referenced in §2.4)</w:t>
      </w:r>
    </w:p>
    <w:p>
      <w:pPr>
        <w:pStyle w:val="FirstParagraph"/>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bookmarkEnd w:id="20"/>
    <w:bookmarkStart w:id="21" w:name="Xc1e215cd55b5de5f52848a02799fb54c803f0b0"/>
    <w:p>
      <w:pPr>
        <w:pStyle w:val="Heading2"/>
      </w:pPr>
      <w:r>
        <w:t xml:space="preserve">S2. Construct-tier scope notes (referenced in §2.3 and §3.2)</w:t>
      </w:r>
    </w:p>
    <w:p>
      <w:pPr>
        <w:pStyle w:val="FirstParagraph"/>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bookmarkEnd w:id="21"/>
    <w:bookmarkStart w:id="22" w:name="X1b21dc58a47a7b2cfb11982e9bb54a9e3e65bc4"/>
    <w:p>
      <w:pPr>
        <w:pStyle w:val="Heading2"/>
      </w:pPr>
      <w:r>
        <w:t xml:space="preserve">S3. Pooled marginal effects of internationalisation (referenced in §4.2)</w:t>
      </w:r>
    </w:p>
    <w:p>
      <w:pPr>
        <w:pStyle w:val="FirstParagraph"/>
      </w:pP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bookmarkEnd w:id="22"/>
    <w:bookmarkStart w:id="35" w:name="X82e5b0391f9ab10239df8e5c8bb295402360a20"/>
    <w:p>
      <w:pPr>
        <w:pStyle w:val="Heading2"/>
      </w:pPr>
      <w:r>
        <w:t xml:space="preserve">S4. Wave-specific predicted-productivity figures (Figures 2a–2d, referenced in §4.2)</w:t>
      </w:r>
    </w:p>
    <w:p>
      <w:pPr>
        <w:pStyle w:val="FirstParagraph"/>
      </w:pPr>
      <w:r>
        <w:drawing>
          <wp:inline>
            <wp:extent cx="5334000" cy="3555999"/>
            <wp:effectExtent b="0" l="0" r="0" t="0"/>
            <wp:docPr descr="Figure 2a: Wave 2009 — predicted ln(labour productivity) vs FSTS" title="" id="24" name="Picture"/>
            <a:graphic>
              <a:graphicData uri="http://schemas.openxmlformats.org/drawingml/2006/picture">
                <pic:pic>
                  <pic:nvPicPr>
                    <pic:cNvPr descr="figures/vietnam/figure_2a.png" id="25" name="Picture"/>
                    <pic:cNvPicPr>
                      <a:picLocks noChangeArrowheads="1" noChangeAspect="1"/>
                    </pic:cNvPicPr>
                  </pic:nvPicPr>
                  <pic:blipFill>
                    <a:blip r:embed="rId23"/>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334000" cy="3555999"/>
            <wp:effectExtent b="0" l="0" r="0" t="0"/>
            <wp:docPr descr="Figure 2b: Wave 2015 — predicted ln(labour productivity) vs FSTS" title="" id="27" name="Picture"/>
            <a:graphic>
              <a:graphicData uri="http://schemas.openxmlformats.org/drawingml/2006/picture">
                <pic:pic>
                  <pic:nvPicPr>
                    <pic:cNvPr descr="figures/vietnam/figure_2b.png" id="28" name="Picture"/>
                    <pic:cNvPicPr>
                      <a:picLocks noChangeArrowheads="1" noChangeAspect="1"/>
                    </pic:cNvPicPr>
                  </pic:nvPicPr>
                  <pic:blipFill>
                    <a:blip r:embed="rId26"/>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334000" cy="3555999"/>
            <wp:effectExtent b="0" l="0" r="0" t="0"/>
            <wp:docPr descr="Figure 2c: Wave 2023 — predicted ln(labour productivity) vs FSTS" title="" id="30" name="Picture"/>
            <a:graphic>
              <a:graphicData uri="http://schemas.openxmlformats.org/drawingml/2006/picture">
                <pic:pic>
                  <pic:nvPicPr>
                    <pic:cNvPr descr="figures/vietnam/figure_2c.png" id="31" name="Picture"/>
                    <pic:cNvPicPr>
                      <a:picLocks noChangeArrowheads="1" noChangeAspect="1"/>
                    </pic:cNvPicPr>
                  </pic:nvPicPr>
                  <pic:blipFill>
                    <a:blip r:embed="rId29"/>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334000" cy="3555999"/>
            <wp:effectExtent b="0" l="0" r="0" t="0"/>
            <wp:docPr descr="Figure 2d: Pooled (2009+2015+2023) — predicted ln(labour productivity) vs FSTS" title="" id="33" name="Picture"/>
            <a:graphic>
              <a:graphicData uri="http://schemas.openxmlformats.org/drawingml/2006/picture">
                <pic:pic>
                  <pic:nvPicPr>
                    <pic:cNvPr descr="figures/vietnam/figure_2d.png" id="34" name="Picture"/>
                    <pic:cNvPicPr>
                      <a:picLocks noChangeArrowheads="1" noChangeAspect="1"/>
                    </pic:cNvPicPr>
                  </pic:nvPicPr>
                  <pic:blipFill>
                    <a:blip r:embed="rId32"/>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35"/>
    <w:bookmarkStart w:id="39" w:name="X0e822769b6bff87ffca65353b1164fd607e0cf8"/>
    <w:p>
      <w:pPr>
        <w:pStyle w:val="Heading2"/>
      </w:pPr>
      <w:r>
        <w:t xml:space="preserve">S5. Full robustness analyses (Panels A–K, referenced in §4.5)</w:t>
      </w:r>
    </w:p>
    <w:bookmarkStart w:id="38"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37"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36">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37"/>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36" Target="http://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36" Target="http://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2026-06-07T17:54:53Z</dcterms:created>
  <dcterms:modified xsi:type="dcterms:W3CDTF">2026-06-07T17:54:53Z</dcterms:modified>
</cp:coreProperties>
</file>

<file path=docProps/custom.xml><?xml version="1.0" encoding="utf-8"?>
<Properties xmlns="http://schemas.openxmlformats.org/officeDocument/2006/custom-properties" xmlns:vt="http://schemas.openxmlformats.org/officeDocument/2006/docPropsVTypes"/>
</file>