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5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Target journal: Management International Review (MIR)</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4"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First, the I–P relationship within the observed export-intensity range is better characterized as predominantly positive with mild quadratic curvature than as an inverted-U; the implied turning point lies in a sparsely populated upper tail. Second, TCI is positively associated with labour productivity, but no TCI moderation of the I–P curve is detected. Third, DAI does not produce a uniform productivity premium; instead, its productivity association becomes more positive only at higher export intensity, with the clearest signal in the high-export tail. These findings suggest that foundational digital adoption functions as a contingent scaling resource — its productivity relevance activates under cross-border coordination demands —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bookmarkEnd w:id="24"/>
    <w:bookmarkStart w:id="29" w:name="Xe3d0fc0bea9a42ce7605565d0964033d7f6ee47"/>
    <w:p>
      <w:pPr>
        <w:pStyle w:val="Heading2"/>
      </w:pPr>
      <w:r>
        <w:t xml:space="preserve">1 Introduction</w:t>
      </w:r>
    </w:p>
    <w:bookmarkStart w:id="25"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 These conditions are empirically grounded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while the Smart Nation 2.0 initiative (launched 2024) formalizes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function as hygiene factors for domestic operations rather than differentiating assets. This near-universal Tier 1–2 diffusion is enabled by Singapore's nationally deployed Digital Public Infrastructure — encompassing digital identity systems, payment rails, and data-exchange platforms — which the World Bank (2025a) identifies as the foundational enabling layer for firm-level digital adoption in advanced economies. Consistent with this, the Singapore sample reveals that 82% of firms report zero exports, while only 3% exceed 50% foreign sales to total sales — a striking domestic orientation despite the economy's mature digital infrastructure. As a result, the productivity returns to foundational digital adoption should not be expected to manifest uniformly across all firms; instead, they should become measurable primarily when firms face the intensified coordination and transaction demands of cross-border activity. Singapore therefore serves not merely as a convenient empirical backdrop, but as an analytically ideal stress test —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5"/>
    <w:bookmarkStart w:id="26" w:name="X2961a496af63dca26d6e29b654ead2e696c6fdd"/>
    <w:p>
      <w:pPr>
        <w:pStyle w:val="Heading3"/>
      </w:pPr>
      <w:r>
        <w:t xml:space="preserve">1.2 Research gap</w:t>
      </w:r>
    </w:p>
    <w:p>
      <w:pPr>
        <w:pStyle w:val="FirstParagraph"/>
      </w:pP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 the most widely diffused and comparable digital layer —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p>
    <w:bookmarkEnd w:id="26"/>
    <w:bookmarkStart w:id="27"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show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 DAI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FSTS=88.6%, in a sparsely populated upper tail, and the Lind–Mehlum test does not formally confirm a right-side decline at conventional thresholds. In a digitally mature economy where Tier 1–2 coordination tools are widely diffused, this is an informative positive null — consistent with the saturation hypothesis —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§4.5 R1 indicator-sensitivity diagnostic further clarifies that the Tier-1+2 composition of DAI — combining website presence with two-way electronic-payment intensity —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§5.1 for the construct-boundary discussion).</w:t>
      </w:r>
    </w:p>
    <w:bookmarkEnd w:id="27"/>
    <w:bookmarkStart w:id="28"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8"/>
    <w:bookmarkEnd w:id="29"/>
    <w:bookmarkStart w:id="41" w:name="X8bf20a63f0decf7b16e99d564b9958ec4fbbb23"/>
    <w:p>
      <w:pPr>
        <w:pStyle w:val="Heading2"/>
      </w:pPr>
      <w:r>
        <w:t xml:space="preserve">2 Theory and Hypotheses</w:t>
      </w:r>
    </w:p>
    <w:bookmarkStart w:id="30"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30"/>
    <w:bookmarkStart w:id="31"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31"/>
    <w:bookmarkStart w:id="36" w:name="Xfeb3205642325e47f2817bab2cc060c9f999b02"/>
    <w:p>
      <w:pPr>
        <w:pStyle w:val="Heading3"/>
      </w:pPr>
      <w:r>
        <w:t xml:space="preserve">2.3 Hypothesis development</w:t>
      </w:r>
    </w:p>
    <w:bookmarkStart w:id="32"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p>
    <w:bookmarkEnd w:id="32"/>
    <w:bookmarkStart w:id="33"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p>
    <w:bookmarkEnd w:id="33"/>
    <w:bookmarkStart w:id="34"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p>
    <w:bookmarkEnd w:id="34"/>
    <w:bookmarkStart w:id="35"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we name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§4. The substitution and selection mechanisms are retained as alternative explanations to be assessed against the robustness evidence in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Barney 1991), with the amplification effect becoming detectable only beyond the export-intensity threshold at which transaction volume justifies intensive use of digital interfaces and electronic-payment systems.</w:t>
      </w:r>
    </w:p>
    <w:bookmarkEnd w:id="35"/>
    <w:bookmarkEnd w:id="36"/>
    <w:bookmarkStart w:id="40"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drawing>
          <wp:inline>
            <wp:extent cx="5753100" cy="3978568"/>
            <wp:effectExtent b="0" l="0" r="0" t="0"/>
            <wp:docPr descr="Figure 1: Conceptual model — TCI and DAI moderating the I–P relationship (Singapore)" title="" id="38" name="Picture"/>
            <a:graphic>
              <a:graphicData uri="http://schemas.openxmlformats.org/drawingml/2006/picture">
                <pic:pic>
                  <pic:nvPicPr>
                    <pic:cNvPr descr="figures/p4_singapore/figure_1_conceptual_model.png" id="39" name="Picture"/>
                    <pic:cNvPicPr>
                      <a:picLocks noChangeArrowheads="1" noChangeAspect="1"/>
                    </pic:cNvPicPr>
                  </pic:nvPicPr>
                  <pic:blipFill>
                    <a:blip r:embed="rId37"/>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 internationalisation intensity (FSTS, FSTS²_c) — is placed at left; the dependent variable — ln(labour productivity) — is placed at right. H1 (inverted-U tendency with support-constrained turning point ~88.6% FSTS, bootstrap CI [53%, 253%]) is grounded in coordination-cost theory (Hitt et al., 1997); the right-side decline is not formally identified within the observed FSTS range — a theoretically informative result under the saturation framework (Lind–Mehlum p = .303). H1-TCI: technological capability (TCI_z, RBV: Barney, 1991) enters as a direct level-shift to firm performance. H2: DAI (Tier-1+2: website + e-payment) exhibits a non-uniform positive direct effect, varying across export intensity. H3: DAI amplifies I→P performance returns at high FSTS —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H3 amplification test conducted on exporters-only subsample (n ≈ 84; power ≈ 16% — corroborating signal, not independent identification). ICRV context: Singapore — Advanced I. Data: WBES 2023; N = 623.</w:t>
      </w:r>
    </w:p>
    <w:bookmarkEnd w:id="40"/>
    <w:bookmarkEnd w:id="41"/>
    <w:bookmarkStart w:id="50" w:name="X167a2da0345881bf36eef0606d50b1063a572d3"/>
    <w:p>
      <w:pPr>
        <w:pStyle w:val="Heading2"/>
      </w:pPr>
      <w:r>
        <w:t xml:space="preserve">3 Methods</w:t>
      </w:r>
    </w:p>
    <w:bookmarkStart w:id="42" w:name="X7539fb3dc2f98232f41138bc75cab658563f4ee"/>
    <w:p>
      <w:pPr>
        <w:pStyle w:val="Heading3"/>
      </w:pPr>
      <w:r>
        <w:t xml:space="preserve">3.1 Data</w:t>
      </w:r>
    </w:p>
    <w:p>
      <w:pPr>
        <w:pStyle w:val="FirstParagraph"/>
      </w:pP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 a measurement implication that is borne out in the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§5.1 for the construct-boundary discussion). The Lind–Mehlum equivalence test result (p = .303) reported in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p>
    <w:bookmarkEnd w:id="42"/>
    <w:bookmarkStart w:id="47" w:name="Xbcf9f12e79107fa2c089aaf13fc6c4fb773f1c2"/>
    <w:p>
      <w:pPr>
        <w:pStyle w:val="Heading3"/>
      </w:pPr>
      <w:r>
        <w:t xml:space="preserve">3.2 Variables</w:t>
      </w:r>
    </w:p>
    <w:bookmarkStart w:id="43"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43"/>
    <w:bookmarkStart w:id="44"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44"/>
    <w:bookmarkStart w:id="45"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 from β = +3.119 (p = .005) in the Tier-1+2 specification to a smaller and statistically weaker estimate — while the Tier-1+2 full model's adjusted R² advantage is also reduced. This pattern is directionally consistent with the theoretical construct-boundary argument developed in §1.2 and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§1.3 supporting contribution on construct-tier specificity.</w:t>
      </w:r>
    </w:p>
    <w:bookmarkEnd w:id="45"/>
    <w:bookmarkStart w:id="46"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6"/>
    <w:bookmarkEnd w:id="47"/>
    <w:bookmarkStart w:id="48"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ln(LP) = α + β₁·FSTS_c + β₂·FSTS_c² + β₃·TCI + β₄·DAI + β₅·(FSTS_c × DAI) + β₆·(FSTS_c² × DAI) + γ·controls + ε,</w:t>
      </w:r>
      <w:r>
        <w:t xml:space="preserve"> </w:t>
      </w:r>
      <w:r>
        <w:t xml:space="preserve">The full model includes centered FSTS, squared centered FSTS, TCI, DAI, the interaction between FSTS and DAI, and the interaction between squared FSTS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 cross-sectional variation in trade costs, export-promotion eligibility, or broadband-rollout timing is not available within the survey frame — OLS with HC1 robust standard errors is adopted as the primary specification. This choice follows Wolfolds and Siegel (2019), who show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§3.4 below for transparency, but is not treated as the primary specification. The associational nature of the OLS estimates is therefore acknowledged upfront, and inferential claims are bounded to within-context associations rather than causal effects.</w:t>
      </w:r>
    </w:p>
    <w:bookmarkEnd w:id="48"/>
    <w:bookmarkStart w:id="49" w:name="X4758c326240d97a48e7d79456dba8f6cc5c46be"/>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§4 results can be presented without recurrent caveats and the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88.6 %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 but the appropriate reading of this null is not "the inverted-U fails", because the test is conditioned on dense support around the turning point, which the §3.4(i) sample-support boundary establishes is absent here. Read against the saturation hypothesis developed in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§4 results below are reported on this consolidated identification scope, and §5 interprets the substantive findings without further re-litigation of these boundary conditions.</w:t>
      </w:r>
    </w:p>
    <w:bookmarkEnd w:id="49"/>
    <w:bookmarkEnd w:id="50"/>
    <w:bookmarkStart w:id="62" w:name="X121719332867ee227f0a04b486098cee978c6e6"/>
    <w:p>
      <w:pPr>
        <w:pStyle w:val="Heading2"/>
      </w:pPr>
      <w:r>
        <w:t xml:space="preserve">4 Results</w:t>
      </w:r>
    </w:p>
    <w:bookmarkStart w:id="51"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51"/>
    <w:bookmarkStart w:id="52"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(β = +2.652, SE = 0.691, p &lt; .001), whereas the squared term is negative and marginally significant (β = −1.705, SE = 0.931, p &lt; .10).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 approximately 67% of firms report website presence and Tier 2 e-payment adoption is widespread —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 "no inverted-U" from "inverted-U whose right-side decline has been pushed into the unobserved upper tail." 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52"/>
    <w:bookmarkStart w:id="53" w:name="Xbd081e7d38ad07e1e46d233e5fbc3c3c47a4f64"/>
    <w:p>
      <w:pPr>
        <w:pStyle w:val="Heading3"/>
      </w:pPr>
      <w:r>
        <w:t xml:space="preserve">4.3 TCI results</w:t>
      </w:r>
    </w:p>
    <w:p>
      <w:pPr>
        <w:pStyle w:val="FirstParagraph"/>
      </w:pPr>
      <w:r>
        <w:t xml:space="preserve">The direct-effect model for technological capability (Model M5) shows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53"/>
    <w:bookmarkStart w:id="60"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indicating partial overlap in the average-firm heterogeneity captured by the two constructs. This attenuation is substantively important because it suggests that DAI should not be interpreted as a large, universal productivity premium across all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corrected marginal effects per reviewer fix #1).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564514" cy="3588675"/>
            <wp:effectExtent b="0" l="0" r="0" t="0"/>
            <wp:docPr descr="Figure 2: Marginal effects of DAI on log labour productivity at varying FSTS levels (Singapore, N=617)" title="" id="55" name="Picture"/>
            <a:graphic>
              <a:graphicData uri="http://schemas.openxmlformats.org/drawingml/2006/picture">
                <pic:pic>
                  <pic:nvPicPr>
                    <pic:cNvPr descr="figures/p4_singapore/figure_2_dai_marginal_effect.png" id="56" name="Picture"/>
                    <pic:cNvPicPr>
                      <a:picLocks noChangeArrowheads="1" noChangeAspect="1"/>
                    </pic:cNvPicPr>
                  </pic:nvPicPr>
                  <pic:blipFill>
                    <a:blip r:embed="rId54"/>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422070" cy="3593270"/>
            <wp:effectExtent b="0" l="0" r="0" t="0"/>
            <wp:docPr descr="Figure 3: Predicted I–P curve with bootstrap confidence band (Singapore, OLS M2)" title="" id="58" name="Picture"/>
            <a:graphic>
              <a:graphicData uri="http://schemas.openxmlformats.org/drawingml/2006/picture">
                <pic:pic>
                  <pic:nvPicPr>
                    <pic:cNvPr descr="figures/p4_singapore/figure_3_predicted_ip_curve.png" id="59" name="Picture"/>
                    <pic:cNvPicPr>
                      <a:picLocks noChangeArrowheads="1" noChangeAspect="1"/>
                    </pic:cNvPicPr>
                  </pic:nvPicPr>
                  <pic:blipFill>
                    <a:blip r:embed="rId57"/>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88.6% on the original scale (−β₁/2β₂ on mean-centered FSTS ≈ 84.1%; adding back the sample mean of 0.045 gives ≈ 88.6%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r>
        <w:t xml:space="preserve"> </w:t>
      </w:r>
      <w:r>
        <w:t xml:space="preserve">Figure 3 visualizes the baseline quadratic fit between export intensity and labour productivity. The fitted curve implies a turning point near FSTS = 88.6% on the original scale (corrected per reviewer fix #3: −β₁/2β₂ applied to mean-centered FSTS ≈ 84.1%; +sample mean 0.045 ≈ 88.6%), but the point estimate is loosely identified — its 95% percentile bootstrap confidence interval spans [53%, 253%] — and lies in a sparsely populated upper tail of the sample. The Lind–Mehlum test does not formally confirm a conventional inverted-U at conventional significance levels. The appropriate interpretation is therefore not that the classic nonlinear literature is overturned, but that in this Singapore sample the right-side decline of the curve appears attenuated or shifted beyond the export range occupied by most firms in the data.</w:t>
      </w:r>
    </w:p>
    <w:bookmarkEnd w:id="60"/>
    <w:bookmarkStart w:id="61" w:name="Xc8e997e14555d7ba8da5c1d596c5311617447cd"/>
    <w:p>
      <w:pPr>
        <w:pStyle w:val="Heading3"/>
      </w:pPr>
      <w:r>
        <w:t xml:space="preserve">4.5 Robustness checks</w:t>
      </w:r>
    </w:p>
    <w:p>
      <w:pPr>
        <w:pStyle w:val="FirstParagraph"/>
      </w:pPr>
      <w:r>
        <w:t xml:space="preserve">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significant (F = 6.32, p = .003), corroborating the amplification mechanism documented in the full sample; the power-bounded inferential reading of this exporters-only result is established at §3.4(ii) and is not repeated here. (ii)</w:t>
      </w:r>
      <w:r>
        <w:t xml:space="preserve"> </w:t>
      </w:r>
      <w:r>
        <w:rPr>
          <w:iCs/>
          <w:i/>
        </w:rPr>
        <w:t xml:space="preserve">Export participation selection</w:t>
      </w:r>
      <w:r>
        <w:t xml:space="preserve">: the inverse-Mills-ratio sensitivity diagnostic for selection at the extensive margin of exporting is reported at §3.4(iv); the diagnostic confirms that the H3 amplification mechanism is robust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61"/>
    <w:bookmarkEnd w:id="62"/>
    <w:bookmarkStart w:id="65" w:name="X735612638e4e736e4693e459c258977262c0dfc"/>
    <w:p>
      <w:pPr>
        <w:pStyle w:val="Heading2"/>
      </w:pPr>
      <w:r>
        <w:t xml:space="preserve">5 Discussion</w:t>
      </w:r>
    </w:p>
    <w:bookmarkStart w:id="63" w:name="X027b31c2d090a00917aa7291770680fd40b64cd"/>
    <w:p>
      <w:pPr>
        <w:pStyle w:val="Heading3"/>
      </w:pPr>
      <w:r>
        <w:t xml:space="preserve">5.1 Theoretical implications</w:t>
      </w:r>
    </w:p>
    <w:p>
      <w:pPr>
        <w:pStyle w:val="FirstParagraph"/>
      </w:pP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with the caveat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 consistent with the digital saturation paradox outlined in the introduction. Their measurable return surfaces only when the scaling demands of high export intensity justify intensive use of digital interfaces and transaction systems. The scale of Singapore's innovation ecosystem —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 confirming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 for which no instrument satisfying the exclusion restriction is available in the single-wave Singapore design — and the §4.5 (ii) Heckman sensitivity diagnostic indicates mild but non-eliminating extensive-margin selection. Read together, the evidence supports amplification as the focal mechanism while retaining selection as a bounded residual concern, in line with the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 as the §4.5 R1 specification confirms: when DAI is reduced to the website-only Tier-1 binary, the quadratic interaction weakens substantially (β drops from +3.119 to +1.552, joint F retained marginal at 4.01, p = .019), and the item-swap falsification test shows that the moderation collapses entirely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universally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 website presence (c22b) combined with electronic payment integration (k33/k38) embedded in the public digital infrastructure — enabling firms to execute frictionless cross-border transactions. In contrast, in transitional economies where Tier-2 payment infrastructure remains institutionally bounded — settings where cross-border electronic-payment rails reached systemic scale only in the late 2010s, as documented across lower-middle-income Asia in World Bank digital infrastructure assessments (World Bank, 2023) —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63"/>
    <w:bookmarkStart w:id="64"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64"/>
    <w:bookmarkEnd w:id="65"/>
    <w:bookmarkStart w:id="66"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66"/>
    <w:bookmarkStart w:id="67" w:name="X422fdd10c3908fe492ea939b97371c73422dbba"/>
    <w:p>
      <w:pPr>
        <w:pStyle w:val="Heading2"/>
      </w:pPr>
      <w:r>
        <w:t xml:space="preserve">7 Limitations and Future Research</w:t>
      </w:r>
    </w:p>
    <w:p>
      <w:pPr>
        <w:pStyle w:val="FirstParagraph"/>
      </w:pP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 digital presence and electronic-transaction usage —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 including instrumental-variable or difference-in-differences specifications keyed to digital-infrastructure rollouts or trade-policy shocks —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67"/>
    <w:bookmarkStart w:id="69"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68">
        <w:r>
          <w:rPr>
            <w:rStyle w:val="Hyperlink"/>
          </w:rPr>
          <w:t xml:space="preserve">www.enterprisesurveys.org</w:t>
        </w:r>
      </w:hyperlink>
      <w:r>
        <w:t xml:space="preserve">. Analysis scripts to replicate the results are available from the corresponding author on reasonable request.</w:t>
      </w:r>
    </w:p>
    <w:bookmarkEnd w:id="69"/>
    <w:bookmarkStart w:id="7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70"/>
    <w:bookmarkStart w:id="71" w:name="funding"/>
    <w:p>
      <w:pPr>
        <w:pStyle w:val="Heading2"/>
      </w:pPr>
      <w:r>
        <w:t xml:space="preserve">Funding</w:t>
      </w:r>
    </w:p>
    <w:p>
      <w:pPr>
        <w:pStyle w:val="FirstParagraph"/>
      </w:pPr>
      <w:r>
        <w:t xml:space="preserve">This research received no external funding.</w:t>
      </w:r>
    </w:p>
    <w:bookmarkEnd w:id="71"/>
    <w:bookmarkStart w:id="72" w:name="conflict-of-interest"/>
    <w:p>
      <w:pPr>
        <w:pStyle w:val="Heading2"/>
      </w:pPr>
      <w:r>
        <w:t xml:space="preserve">Conflict of Interest</w:t>
      </w:r>
    </w:p>
    <w:p>
      <w:pPr>
        <w:pStyle w:val="FirstParagraph"/>
      </w:pPr>
      <w:r>
        <w:t xml:space="preserve">The authors declare no conflicts of interest.</w:t>
      </w:r>
    </w:p>
    <w:bookmarkEnd w:id="72"/>
    <w:bookmarkStart w:id="74"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w:t>
      </w:r>
      <w:r>
        <w:t xml:space="preserve"> </w:t>
      </w:r>
      <w:hyperlink r:id="rId73">
        <w:r>
          <w:rPr>
            <w:rStyle w:val="Hyperlink"/>
          </w:rPr>
          <w:t xml:space="preserve">https://www.enterprisesurveys.org</w:t>
        </w:r>
      </w:hyperlink>
      <w:r>
        <w:t xml:space="preserve">. Processed data and replication code are available from the corresponding author upon reasonable request.</w:t>
      </w:r>
    </w:p>
    <w:p>
      <w:r>
        <w:pict>
          <v:rect style="width:0;height:1.5pt" o:hralign="center" o:hrstd="t" o:hr="t"/>
        </w:pict>
      </w:r>
    </w:p>
    <w:bookmarkEnd w:id="74"/>
    <w:bookmarkStart w:id="110"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w:t>
      </w:r>
      <w:r>
        <w:t xml:space="preserve">,</w:t>
      </w:r>
      <w:r>
        <w:t xml:space="preserve"> </w:t>
      </w:r>
      <w:r>
        <w:rPr>
          <w:iCs/>
          <w:i/>
        </w:rPr>
        <w:t xml:space="preserve">90</w:t>
      </w:r>
      <w:r>
        <w:t xml:space="preserve">(1), 94–107.</w:t>
      </w:r>
      <w:r>
        <w:t xml:space="preserve"> </w:t>
      </w:r>
      <w:hyperlink r:id="rId75">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w:t>
      </w:r>
      <w:r>
        <w:t xml:space="preserve">,</w:t>
      </w:r>
      <w:r>
        <w:t xml:space="preserve"> </w:t>
      </w:r>
      <w:r>
        <w:rPr>
          <w:iCs/>
          <w:i/>
        </w:rPr>
        <w:t xml:space="preserve">21</w:t>
      </w:r>
      <w:r>
        <w:t xml:space="preserve">(6), 1086–1120.</w:t>
      </w:r>
      <w:r>
        <w:t xml:space="preserve"> </w:t>
      </w:r>
      <w:hyperlink r:id="rId76">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w:t>
      </w:r>
      <w:r>
        <w:t xml:space="preserve">,</w:t>
      </w:r>
      <w:r>
        <w:t xml:space="preserve"> </w:t>
      </w:r>
      <w:r>
        <w:rPr>
          <w:iCs/>
          <w:i/>
        </w:rPr>
        <w:t xml:space="preserve">33</w:t>
      </w:r>
      <w:r>
        <w:t xml:space="preserve">(2), 304–329.</w:t>
      </w:r>
      <w:r>
        <w:t xml:space="preserve"> </w:t>
      </w:r>
      <w:hyperlink r:id="rId77">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w:t>
      </w:r>
      <w:r>
        <w:t xml:space="preserve">,</w:t>
      </w:r>
      <w:r>
        <w:t xml:space="preserve"> </w:t>
      </w:r>
      <w:r>
        <w:rPr>
          <w:iCs/>
          <w:i/>
        </w:rPr>
        <w:t xml:space="preserve">50</w:t>
      </w:r>
      <w:r>
        <w:t xml:space="preserve">(8), 1372–1387.</w:t>
      </w:r>
      <w:r>
        <w:t xml:space="preserve"> </w:t>
      </w:r>
      <w:hyperlink r:id="rId78">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w:t>
      </w:r>
      <w:r>
        <w:t xml:space="preserve">,</w:t>
      </w:r>
      <w:r>
        <w:t xml:space="preserve"> </w:t>
      </w:r>
      <w:r>
        <w:rPr>
          <w:iCs/>
          <w:i/>
        </w:rPr>
        <w:t xml:space="preserve">17</w:t>
      </w:r>
      <w:r>
        <w:t xml:space="preserve">(1), 99–120.</w:t>
      </w:r>
      <w:r>
        <w:t xml:space="preserve"> </w:t>
      </w:r>
      <w:hyperlink r:id="rId79">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w:t>
      </w:r>
      <w:r>
        <w:t xml:space="preserve">,</w:t>
      </w:r>
      <w:r>
        <w:t xml:space="preserve"> </w:t>
      </w:r>
      <w:r>
        <w:rPr>
          <w:iCs/>
          <w:i/>
        </w:rPr>
        <w:t xml:space="preserve">37</w:t>
      </w:r>
      <w:r>
        <w:t xml:space="preserve">(2), 471–482.</w:t>
      </w:r>
      <w:r>
        <w:t xml:space="preserve"> </w:t>
      </w:r>
      <w:hyperlink r:id="rId80">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w:t>
      </w:r>
      <w:r>
        <w:t xml:space="preserve"> </w:t>
      </w:r>
      <w:r>
        <w:rPr>
          <w:iCs/>
          <w:i/>
        </w:rPr>
        <w:t xml:space="preserve">13</w:t>
      </w:r>
      <w:r>
        <w:t xml:space="preserve">(1), 333–372.</w:t>
      </w:r>
      <w:r>
        <w:t xml:space="preserve"> </w:t>
      </w:r>
      <w:hyperlink r:id="rId81">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w:t>
      </w:r>
      <w:r>
        <w:t xml:space="preserve">,</w:t>
      </w:r>
      <w:r>
        <w:t xml:space="preserve"> </w:t>
      </w:r>
      <w:r>
        <w:rPr>
          <w:iCs/>
          <w:i/>
        </w:rPr>
        <w:t xml:space="preserve">35</w:t>
      </w:r>
      <w:r>
        <w:t xml:space="preserve">(1), 128–152.</w:t>
      </w:r>
      <w:r>
        <w:t xml:space="preserve"> </w:t>
      </w:r>
      <w:hyperlink r:id="rId82">
        <w:r>
          <w:rPr>
            <w:rStyle w:val="Hyperlink"/>
          </w:rPr>
          <w:t xml:space="preserve">https://doi.org/10.2307/2393553</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w:t>
      </w:r>
      <w:r>
        <w:t xml:space="preserve">,</w:t>
      </w:r>
      <w:r>
        <w:t xml:space="preserve"> </w:t>
      </w:r>
      <w:r>
        <w:rPr>
          <w:iCs/>
          <w:i/>
        </w:rPr>
        <w:t xml:space="preserve">61</w:t>
      </w:r>
      <w:r>
        <w:t xml:space="preserve">(12), 1250–1262.</w:t>
      </w:r>
      <w:r>
        <w:t xml:space="preserve"> </w:t>
      </w:r>
      <w:hyperlink r:id="rId83">
        <w:r>
          <w:rPr>
            <w:rStyle w:val="Hyperlink"/>
          </w:rPr>
          <w:t xml:space="preserve">https://doi.org/10.1016/j.jbusres.2008.01.013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w:t>
      </w:r>
      <w:r>
        <w:t xml:space="preserve"> </w:t>
      </w:r>
      <w:r>
        <w:rPr>
          <w:iCs/>
          <w:i/>
        </w:rPr>
        <w:t xml:space="preserve">47</w:t>
      </w:r>
      <w:r>
        <w:t xml:space="preserve">(3), 453–475.</w:t>
      </w:r>
      <w:r>
        <w:t xml:space="preserve"> </w:t>
      </w:r>
      <w:hyperlink r:id="rId84">
        <w:r>
          <w:rPr>
            <w:rStyle w:val="Hyperlink"/>
          </w:rPr>
          <w:t xml:space="preserve">https://doi.org/10.1007/s11575-007-0024-2</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w:t>
      </w:r>
      <w:r>
        <w:t xml:space="preserve"> </w:t>
      </w:r>
      <w:r>
        <w:rPr>
          <w:iCs/>
          <w:i/>
        </w:rPr>
        <w:t xml:space="preserve">34</w:t>
      </w:r>
      <w:r>
        <w:t xml:space="preserve">(1), 5–18.</w:t>
      </w:r>
      <w:r>
        <w:t xml:space="preserve"> </w:t>
      </w:r>
      <w:hyperlink r:id="rId85">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w:t>
      </w:r>
      <w:r>
        <w:t xml:space="preserve"> </w:t>
      </w:r>
      <w:r>
        <w:rPr>
          <w:iCs/>
          <w:i/>
        </w:rPr>
        <w:t xml:space="preserve">37</w:t>
      </w:r>
      <w:r>
        <w:t xml:space="preserve">(7), 1177–1195.</w:t>
      </w:r>
      <w:r>
        <w:t xml:space="preserve"> </w:t>
      </w:r>
      <w:hyperlink r:id="rId86">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w:t>
      </w:r>
      <w:r>
        <w:t xml:space="preserve">,</w:t>
      </w:r>
      <w:r>
        <w:t xml:space="preserve"> </w:t>
      </w:r>
      <w:r>
        <w:rPr>
          <w:iCs/>
          <w:i/>
        </w:rPr>
        <w:t xml:space="preserve">9</w:t>
      </w:r>
      <w:r>
        <w:t xml:space="preserve">(2), 193–206.</w:t>
      </w:r>
      <w:r>
        <w:t xml:space="preserve"> </w:t>
      </w:r>
      <w:hyperlink r:id="rId87">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w:t>
      </w:r>
      <w:r>
        <w:t xml:space="preserve"> </w:t>
      </w:r>
      <w:r>
        <w:rPr>
          <w:iCs/>
          <w:i/>
        </w:rPr>
        <w:t xml:space="preserve">40</w:t>
      </w:r>
      <w:r>
        <w:t xml:space="preserve">(4), 767–798.</w:t>
      </w:r>
      <w:r>
        <w:t xml:space="preserve"> </w:t>
      </w:r>
      <w:hyperlink r:id="rId88">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w:t>
      </w:r>
      <w:r>
        <w:t xml:space="preserve">,</w:t>
      </w:r>
      <w:r>
        <w:t xml:space="preserve"> </w:t>
      </w:r>
      <w:r>
        <w:rPr>
          <w:iCs/>
          <w:i/>
        </w:rPr>
        <w:t xml:space="preserve">27</w:t>
      </w:r>
      <w:r>
        <w:t xml:space="preserve">(1), 218–230.</w:t>
      </w:r>
      <w:r>
        <w:t xml:space="preserve"> </w:t>
      </w:r>
      <w:hyperlink r:id="rId89">
        <w:r>
          <w:rPr>
            <w:rStyle w:val="Hyperlink"/>
          </w:rPr>
          <w:t xml:space="preserve">https://doi.org/10.1016/j.ibusrev.2017.07.003</w:t>
        </w:r>
      </w:hyperlink>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w:t>
      </w:r>
      <w:r>
        <w:t xml:space="preserve">,</w:t>
      </w:r>
      <w:r>
        <w:t xml:space="preserve"> </w:t>
      </w:r>
      <w:r>
        <w:rPr>
          <w:iCs/>
          <w:i/>
        </w:rPr>
        <w:t xml:space="preserve">1</w:t>
      </w:r>
      <w:r>
        <w:t xml:space="preserve">(2), 259–269.</w:t>
      </w:r>
      <w:r>
        <w:t xml:space="preserve"> </w:t>
      </w:r>
      <w:hyperlink r:id="rId90">
        <w:r>
          <w:rPr>
            <w:rStyle w:val="Hyperlink"/>
          </w:rPr>
          <w:t xml:space="preserve">https://doi.org/10.1177/2515245918770963</w:t>
        </w:r>
      </w:hyperlink>
      <w:r>
        <w:t xml:space="preserve"> </w:t>
      </w:r>
      <w:r>
        <w:t xml:space="preserve">Lall, S. (1992). Technological capabilities and industrialization.</w:t>
      </w:r>
      <w:r>
        <w:t xml:space="preserve"> </w:t>
      </w:r>
      <w:r>
        <w:rPr>
          <w:iCs/>
          <w:i/>
        </w:rPr>
        <w:t xml:space="preserve">World Development</w:t>
      </w:r>
      <w:r>
        <w:t xml:space="preserve">,</w:t>
      </w:r>
      <w:r>
        <w:t xml:space="preserve"> </w:t>
      </w:r>
      <w:r>
        <w:rPr>
          <w:iCs/>
          <w:i/>
        </w:rPr>
        <w:t xml:space="preserve">20</w:t>
      </w:r>
      <w:r>
        <w:t xml:space="preserve">(2), 165–186.</w:t>
      </w:r>
      <w:r>
        <w:t xml:space="preserve"> </w:t>
      </w:r>
      <w:hyperlink r:id="rId91">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w:t>
      </w:r>
      <w:r>
        <w:t xml:space="preserve">,</w:t>
      </w:r>
      <w:r>
        <w:t xml:space="preserve"> </w:t>
      </w:r>
      <w:r>
        <w:rPr>
          <w:iCs/>
          <w:i/>
        </w:rPr>
        <w:t xml:space="preserve">72</w:t>
      </w:r>
      <w:r>
        <w:t xml:space="preserve">(1), 109–118.</w:t>
      </w:r>
      <w:r>
        <w:t xml:space="preserve"> </w:t>
      </w:r>
      <w:hyperlink r:id="rId92">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w:t>
      </w:r>
      <w:r>
        <w:t xml:space="preserve">,</w:t>
      </w:r>
      <w:r>
        <w:t xml:space="preserve"> </w:t>
      </w:r>
      <w:r>
        <w:rPr>
          <w:iCs/>
          <w:i/>
        </w:rPr>
        <w:t xml:space="preserve">47</w:t>
      </w:r>
      <w:r>
        <w:t xml:space="preserve">(4), 598–609.</w:t>
      </w:r>
      <w:r>
        <w:t xml:space="preserve"> </w:t>
      </w:r>
      <w:hyperlink r:id="rId93">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w:t>
      </w:r>
      <w:r>
        <w:t xml:space="preserve"> </w:t>
      </w:r>
      <w:r>
        <w:rPr>
          <w:iCs/>
          <w:i/>
        </w:rPr>
        <w:t xml:space="preserve">29</w:t>
      </w:r>
      <w:r>
        <w:t xml:space="preserve">(3), 305–325.</w:t>
      </w:r>
      <w:r>
        <w:t xml:space="preserve"> </w:t>
      </w:r>
      <w:hyperlink r:id="rId94">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w:t>
      </w:r>
      <w:r>
        <w:t xml:space="preserve"> </w:t>
      </w:r>
      <w:r>
        <w:rPr>
          <w:iCs/>
          <w:i/>
        </w:rPr>
        <w:t xml:space="preserve">42</w:t>
      </w:r>
      <w:r>
        <w:t xml:space="preserve">(5), 1075–1110.</w:t>
      </w:r>
      <w:r>
        <w:t xml:space="preserve"> </w:t>
      </w:r>
      <w:hyperlink r:id="rId95">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w:t>
      </w:r>
      <w:r>
        <w:t xml:space="preserve">,</w:t>
      </w:r>
      <w:r>
        <w:t xml:space="preserve"> </w:t>
      </w:r>
      <w:r>
        <w:rPr>
          <w:iCs/>
          <w:i/>
        </w:rPr>
        <w:t xml:space="preserve">48</w:t>
      </w:r>
      <w:r>
        <w:t xml:space="preserve">(5), 535–551.</w:t>
      </w:r>
      <w:r>
        <w:t xml:space="preserve"> </w:t>
      </w:r>
      <w:hyperlink r:id="rId96">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w:t>
      </w:r>
      <w:r>
        <w:t xml:space="preserve">,</w:t>
      </w:r>
      <w:r>
        <w:t xml:space="preserve"> </w:t>
      </w:r>
      <w:r>
        <w:rPr>
          <w:iCs/>
          <w:i/>
        </w:rPr>
        <w:t xml:space="preserve">41</w:t>
      </w:r>
      <w:r>
        <w:t xml:space="preserve">(5), 673–690.</w:t>
      </w:r>
      <w:r>
        <w:t xml:space="preserve"> </w:t>
      </w:r>
      <w:hyperlink r:id="rId97">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w:t>
      </w:r>
      <w:r>
        <w:t xml:space="preserve">,</w:t>
      </w:r>
      <w:r>
        <w:t xml:space="preserve"> </w:t>
      </w:r>
      <w:r>
        <w:rPr>
          <w:iCs/>
          <w:i/>
        </w:rPr>
        <w:t xml:space="preserve">28</w:t>
      </w:r>
      <w:r>
        <w:t xml:space="preserve">(2), 275–296.</w:t>
      </w:r>
      <w:r>
        <w:t xml:space="preserve"> </w:t>
      </w:r>
      <w:hyperlink r:id="rId98">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w:t>
      </w:r>
      <w:r>
        <w:t xml:space="preserve"> </w:t>
      </w:r>
      <w:r>
        <w:rPr>
          <w:iCs/>
          <w:i/>
        </w:rPr>
        <w:t xml:space="preserve">39</w:t>
      </w:r>
      <w:r>
        <w:t xml:space="preserve">(5), 920–936.</w:t>
      </w:r>
      <w:r>
        <w:t xml:space="preserve"> </w:t>
      </w:r>
      <w:hyperlink r:id="rId99">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w:t>
      </w:r>
      <w:r>
        <w:t xml:space="preserve">,</w:t>
      </w:r>
      <w:r>
        <w:t xml:space="preserve"> </w:t>
      </w:r>
      <w:r>
        <w:rPr>
          <w:iCs/>
          <w:i/>
        </w:rPr>
        <w:t xml:space="preserve">35</w:t>
      </w:r>
      <w:r>
        <w:t xml:space="preserve">(1), 3–18.</w:t>
      </w:r>
      <w:r>
        <w:t xml:space="preserve"> </w:t>
      </w:r>
      <w:hyperlink r:id="rId100">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w:t>
      </w:r>
      <w:r>
        <w:t xml:space="preserve">,</w:t>
      </w:r>
      <w:r>
        <w:t xml:space="preserve"> </w:t>
      </w:r>
      <w:r>
        <w:rPr>
          <w:iCs/>
          <w:i/>
        </w:rPr>
        <w:t xml:space="preserve">46</w:t>
      </w:r>
      <w:r>
        <w:t xml:space="preserve">(6), 1244–1256.</w:t>
      </w:r>
      <w:r>
        <w:t xml:space="preserve"> </w:t>
      </w:r>
      <w:hyperlink r:id="rId101">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w:t>
      </w:r>
      <w:r>
        <w:t xml:space="preserve">,</w:t>
      </w:r>
      <w:r>
        <w:t xml:space="preserve"> </w:t>
      </w:r>
      <w:r>
        <w:rPr>
          <w:iCs/>
          <w:i/>
        </w:rPr>
        <w:t xml:space="preserve">11</w:t>
      </w:r>
      <w:r>
        <w:t xml:space="preserve">(1), 58–80.</w:t>
      </w:r>
      <w:r>
        <w:t xml:space="preserve"> </w:t>
      </w:r>
      <w:hyperlink r:id="rId102">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w:t>
      </w:r>
      <w:r>
        <w:t xml:space="preserve"> </w:t>
      </w:r>
      <w:r>
        <w:rPr>
          <w:iCs/>
          <w:i/>
        </w:rPr>
        <w:t xml:space="preserve">122</w:t>
      </w:r>
      <w:r>
        <w:t xml:space="preserve">, 889–901.</w:t>
      </w:r>
      <w:r>
        <w:t xml:space="preserve"> </w:t>
      </w:r>
      <w:hyperlink r:id="rId103">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w:t>
      </w:r>
      <w:r>
        <w:t xml:space="preserve">,</w:t>
      </w:r>
      <w:r>
        <w:t xml:space="preserve"> </w:t>
      </w:r>
      <w:r>
        <w:rPr>
          <w:iCs/>
          <w:i/>
        </w:rPr>
        <w:t xml:space="preserve">40</w:t>
      </w:r>
      <w:r>
        <w:t xml:space="preserve">(3), 432–462.</w:t>
      </w:r>
      <w:r>
        <w:t xml:space="preserve"> </w:t>
      </w:r>
      <w:hyperlink r:id="rId104">
        <w:r>
          <w:rPr>
            <w:rStyle w:val="Hyperlink"/>
          </w:rPr>
          <w:t xml:space="preserve">https://doi.org/10.1002/smj.2995</w:t>
        </w:r>
      </w:hyperlink>
    </w:p>
    <w:p>
      <w:r>
        <w:pict>
          <v:rect style="width:0;height:1.5pt" o:hralign="center" o:hrstd="t" o:hr="t"/>
        </w:pict>
      </w:r>
    </w:p>
    <w:p>
      <w:pPr>
        <w:pStyle w:val="FirstParagraph"/>
      </w:pPr>
      <w:r>
        <w:rPr>
          <w:iCs/>
          <w:i/>
        </w:rPr>
        <w:t xml:space="preserve">Additional contextual sources (cited in §1.1 and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105">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106">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07">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8">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09">
        <w:r>
          <w:rPr>
            <w:rStyle w:val="Hyperlink"/>
          </w:rPr>
          <w:t xml:space="preserve">https://www.startupblink.com/blog/innovators-business-environment-index/</w:t>
        </w:r>
      </w:hyperlink>
      <w:r>
        <w:t xml:space="preserve"> </w:t>
      </w:r>
      <w:r>
        <w:t xml:space="preserve">World Bank. (2024).</w:t>
      </w:r>
      <w:r>
        <w:t xml:space="preserve"> </w:t>
      </w:r>
      <w:r>
        <w:rPr>
          <w:iCs/>
          <w:i/>
        </w:rPr>
        <w:t xml:space="preserve">World Bank Enterprise Survey: Singapore 2023</w:t>
      </w:r>
      <w:r>
        <w:t xml:space="preserve">.</w:t>
      </w:r>
      <w:r>
        <w:t xml:space="preserve"> </w:t>
      </w:r>
      <w:hyperlink r:id="rId73">
        <w:r>
          <w:rPr>
            <w:rStyle w:val="Hyperlink"/>
          </w:rPr>
          <w:t xml:space="preserve">https://www.enterprisesurveys.org</w:t>
        </w:r>
      </w:hyperlink>
    </w:p>
    <w:bookmarkEnd w:id="110"/>
    <w:bookmarkEnd w:id="11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hyperlink" Id="rId68" Target="http://www.enterprisesurveys.org" TargetMode="External" /><Relationship Type="http://schemas.openxmlformats.org/officeDocument/2006/relationships/hyperlink" Id="rId102" Target="https://doi.org/10.1002/gsj.1336" TargetMode="External" /><Relationship Type="http://schemas.openxmlformats.org/officeDocument/2006/relationships/hyperlink" Id="rId86" Target="https://doi.org/10.1002/smj.2399" TargetMode="External" /><Relationship Type="http://schemas.openxmlformats.org/officeDocument/2006/relationships/hyperlink" Id="rId104" Target="https://doi.org/10.1002/smj.2995" TargetMode="External" /><Relationship Type="http://schemas.openxmlformats.org/officeDocument/2006/relationships/hyperlink" Id="rId97" Target="https://doi.org/10.1007/s11135-006-9018-6" TargetMode="External" /><Relationship Type="http://schemas.openxmlformats.org/officeDocument/2006/relationships/hyperlink" Id="rId84" Target="https://doi.org/10.1007/s11575-007-0024-2" TargetMode="External" /><Relationship Type="http://schemas.openxmlformats.org/officeDocument/2006/relationships/hyperlink" Id="rId94" Target="https://doi.org/10.1016/0304-4076(85)90158-7" TargetMode="External" /><Relationship Type="http://schemas.openxmlformats.org/officeDocument/2006/relationships/hyperlink" Id="rId91" Target="https://doi.org/10.1016/0305-750X(92)90097-F" TargetMode="External" /><Relationship Type="http://schemas.openxmlformats.org/officeDocument/2006/relationships/hyperlink" Id="rId89" Target="https://doi.org/10.1016/j.ibusrev.2017.07.003" TargetMode="External" /><Relationship Type="http://schemas.openxmlformats.org/officeDocument/2006/relationships/hyperlink" Id="rId83" Target="https://doi.org/10.1016/j.jbusres.2008.01.013" TargetMode="External" /><Relationship Type="http://schemas.openxmlformats.org/officeDocument/2006/relationships/hyperlink" Id="rId103" Target="https://doi.org/10.1016/j.jbusres.2019.09.022" TargetMode="External" /><Relationship Type="http://schemas.openxmlformats.org/officeDocument/2006/relationships/hyperlink" Id="rId76" Target="https://doi.org/10.1016/j.leaqua.2010.10.010" TargetMode="External" /><Relationship Type="http://schemas.openxmlformats.org/officeDocument/2006/relationships/hyperlink" Id="rId75" Target="https://doi.org/10.1037/0021-9010.90.1.94" TargetMode="External" /><Relationship Type="http://schemas.openxmlformats.org/officeDocument/2006/relationships/hyperlink" Id="rId85" Target="https://doi.org/10.1057/palgrave.jibs.8400003" TargetMode="External" /><Relationship Type="http://schemas.openxmlformats.org/officeDocument/2006/relationships/hyperlink" Id="rId100" Target="https://doi.org/10.1057/palgrave.jibs.8400073" TargetMode="External" /><Relationship Type="http://schemas.openxmlformats.org/officeDocument/2006/relationships/hyperlink" Id="rId99" Target="https://doi.org/10.1057/palgrave.jibs.8400377" TargetMode="External" /><Relationship Type="http://schemas.openxmlformats.org/officeDocument/2006/relationships/hyperlink" Id="rId96" Target="https://doi.org/10.1057/s41267-017-0078-8" TargetMode="External" /><Relationship Type="http://schemas.openxmlformats.org/officeDocument/2006/relationships/hyperlink" Id="rId78" Target="https://doi.org/10.1057/s41267-019-00243-7" TargetMode="External" /><Relationship Type="http://schemas.openxmlformats.org/officeDocument/2006/relationships/hyperlink" Id="rId77" Target="https://doi.org/10.1057/s41287-020-00328-2" TargetMode="External" /><Relationship Type="http://schemas.openxmlformats.org/officeDocument/2006/relationships/hyperlink" Id="rId92" Target="https://doi.org/10.1111/j.1468-0084.2009.00569.x" TargetMode="External" /><Relationship Type="http://schemas.openxmlformats.org/officeDocument/2006/relationships/hyperlink" Id="rId95" Target="https://doi.org/10.1177/0149206315624963" TargetMode="External" /><Relationship Type="http://schemas.openxmlformats.org/officeDocument/2006/relationships/hyperlink" Id="rId101" Target="https://doi.org/10.1177/0149206319846272" TargetMode="External" /><Relationship Type="http://schemas.openxmlformats.org/officeDocument/2006/relationships/hyperlink" Id="rId79" Target="https://doi.org/10.1177/014920639101700108" TargetMode="External" /><Relationship Type="http://schemas.openxmlformats.org/officeDocument/2006/relationships/hyperlink" Id="rId90" Target="https://doi.org/10.1177/2515245918770963" TargetMode="External" /><Relationship Type="http://schemas.openxmlformats.org/officeDocument/2006/relationships/hyperlink" Id="rId81" Target="https://doi.org/10.1257/mac.20180386" TargetMode="External" /><Relationship Type="http://schemas.openxmlformats.org/officeDocument/2006/relationships/hyperlink" Id="rId82" Target="https://doi.org/10.2307/2393553" TargetMode="External" /><Relationship Type="http://schemas.openxmlformats.org/officeDocument/2006/relationships/hyperlink" Id="rId80" Target="https://doi.org/10.25300/MISQ/2013/37:2.3" TargetMode="External" /><Relationship Type="http://schemas.openxmlformats.org/officeDocument/2006/relationships/hyperlink" Id="rId93" Target="https://doi.org/10.5465/20159604" TargetMode="External" /><Relationship Type="http://schemas.openxmlformats.org/officeDocument/2006/relationships/hyperlink" Id="rId88" Target="https://doi.org/10.5465/256948" TargetMode="External" /><Relationship Type="http://schemas.openxmlformats.org/officeDocument/2006/relationships/hyperlink" Id="rId87" Target="https://doi.org/10.5465/amr.1984.4277628" TargetMode="External" /><Relationship Type="http://schemas.openxmlformats.org/officeDocument/2006/relationships/hyperlink" Id="rId98"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5"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73" Target="https://www.enterprisesurveys.org" TargetMode="External" /><Relationship Type="http://schemas.openxmlformats.org/officeDocument/2006/relationships/hyperlink" Id="rId107" Target="https://www.imda.gov.sg/resources/press-releases-factsheets-and-speeches/press-releases/2025/asia-tech-x-singapore-turns-five" TargetMode="External" /><Relationship Type="http://schemas.openxmlformats.org/officeDocument/2006/relationships/hyperlink" Id="rId109" Target="https://www.startupblink.com/blog/innovators-business-environment-index/" TargetMode="External" /><Relationship Type="http://schemas.openxmlformats.org/officeDocument/2006/relationships/hyperlink" Id="rId108" Target="https://www.startupblink.com/startup-ecosystem/singapore" TargetMode="External" /><Relationship Type="http://schemas.openxmlformats.org/officeDocument/2006/relationships/hyperlink" Id="rId106"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8" Target="http://www.enterprisesurveys.org" TargetMode="External" /><Relationship Type="http://schemas.openxmlformats.org/officeDocument/2006/relationships/hyperlink" Id="rId102" Target="https://doi.org/10.1002/gsj.1336" TargetMode="External" /><Relationship Type="http://schemas.openxmlformats.org/officeDocument/2006/relationships/hyperlink" Id="rId86" Target="https://doi.org/10.1002/smj.2399" TargetMode="External" /><Relationship Type="http://schemas.openxmlformats.org/officeDocument/2006/relationships/hyperlink" Id="rId104" Target="https://doi.org/10.1002/smj.2995" TargetMode="External" /><Relationship Type="http://schemas.openxmlformats.org/officeDocument/2006/relationships/hyperlink" Id="rId97" Target="https://doi.org/10.1007/s11135-006-9018-6" TargetMode="External" /><Relationship Type="http://schemas.openxmlformats.org/officeDocument/2006/relationships/hyperlink" Id="rId84" Target="https://doi.org/10.1007/s11575-007-0024-2" TargetMode="External" /><Relationship Type="http://schemas.openxmlformats.org/officeDocument/2006/relationships/hyperlink" Id="rId94" Target="https://doi.org/10.1016/0304-4076(85)90158-7" TargetMode="External" /><Relationship Type="http://schemas.openxmlformats.org/officeDocument/2006/relationships/hyperlink" Id="rId91" Target="https://doi.org/10.1016/0305-750X(92)90097-F" TargetMode="External" /><Relationship Type="http://schemas.openxmlformats.org/officeDocument/2006/relationships/hyperlink" Id="rId89" Target="https://doi.org/10.1016/j.ibusrev.2017.07.003" TargetMode="External" /><Relationship Type="http://schemas.openxmlformats.org/officeDocument/2006/relationships/hyperlink" Id="rId83" Target="https://doi.org/10.1016/j.jbusres.2008.01.013" TargetMode="External" /><Relationship Type="http://schemas.openxmlformats.org/officeDocument/2006/relationships/hyperlink" Id="rId103" Target="https://doi.org/10.1016/j.jbusres.2019.09.022" TargetMode="External" /><Relationship Type="http://schemas.openxmlformats.org/officeDocument/2006/relationships/hyperlink" Id="rId76" Target="https://doi.org/10.1016/j.leaqua.2010.10.010" TargetMode="External" /><Relationship Type="http://schemas.openxmlformats.org/officeDocument/2006/relationships/hyperlink" Id="rId75" Target="https://doi.org/10.1037/0021-9010.90.1.94" TargetMode="External" /><Relationship Type="http://schemas.openxmlformats.org/officeDocument/2006/relationships/hyperlink" Id="rId85" Target="https://doi.org/10.1057/palgrave.jibs.8400003" TargetMode="External" /><Relationship Type="http://schemas.openxmlformats.org/officeDocument/2006/relationships/hyperlink" Id="rId100" Target="https://doi.org/10.1057/palgrave.jibs.8400073" TargetMode="External" /><Relationship Type="http://schemas.openxmlformats.org/officeDocument/2006/relationships/hyperlink" Id="rId99" Target="https://doi.org/10.1057/palgrave.jibs.8400377" TargetMode="External" /><Relationship Type="http://schemas.openxmlformats.org/officeDocument/2006/relationships/hyperlink" Id="rId96" Target="https://doi.org/10.1057/s41267-017-0078-8" TargetMode="External" /><Relationship Type="http://schemas.openxmlformats.org/officeDocument/2006/relationships/hyperlink" Id="rId78" Target="https://doi.org/10.1057/s41267-019-00243-7" TargetMode="External" /><Relationship Type="http://schemas.openxmlformats.org/officeDocument/2006/relationships/hyperlink" Id="rId77" Target="https://doi.org/10.1057/s41287-020-00328-2" TargetMode="External" /><Relationship Type="http://schemas.openxmlformats.org/officeDocument/2006/relationships/hyperlink" Id="rId92" Target="https://doi.org/10.1111/j.1468-0084.2009.00569.x" TargetMode="External" /><Relationship Type="http://schemas.openxmlformats.org/officeDocument/2006/relationships/hyperlink" Id="rId95" Target="https://doi.org/10.1177/0149206315624963" TargetMode="External" /><Relationship Type="http://schemas.openxmlformats.org/officeDocument/2006/relationships/hyperlink" Id="rId101" Target="https://doi.org/10.1177/0149206319846272" TargetMode="External" /><Relationship Type="http://schemas.openxmlformats.org/officeDocument/2006/relationships/hyperlink" Id="rId79" Target="https://doi.org/10.1177/014920639101700108" TargetMode="External" /><Relationship Type="http://schemas.openxmlformats.org/officeDocument/2006/relationships/hyperlink" Id="rId90" Target="https://doi.org/10.1177/2515245918770963" TargetMode="External" /><Relationship Type="http://schemas.openxmlformats.org/officeDocument/2006/relationships/hyperlink" Id="rId81" Target="https://doi.org/10.1257/mac.20180386" TargetMode="External" /><Relationship Type="http://schemas.openxmlformats.org/officeDocument/2006/relationships/hyperlink" Id="rId82" Target="https://doi.org/10.2307/2393553" TargetMode="External" /><Relationship Type="http://schemas.openxmlformats.org/officeDocument/2006/relationships/hyperlink" Id="rId80" Target="https://doi.org/10.25300/MISQ/2013/37:2.3" TargetMode="External" /><Relationship Type="http://schemas.openxmlformats.org/officeDocument/2006/relationships/hyperlink" Id="rId93" Target="https://doi.org/10.5465/20159604" TargetMode="External" /><Relationship Type="http://schemas.openxmlformats.org/officeDocument/2006/relationships/hyperlink" Id="rId88" Target="https://doi.org/10.5465/256948" TargetMode="External" /><Relationship Type="http://schemas.openxmlformats.org/officeDocument/2006/relationships/hyperlink" Id="rId87" Target="https://doi.org/10.5465/amr.1984.4277628" TargetMode="External" /><Relationship Type="http://schemas.openxmlformats.org/officeDocument/2006/relationships/hyperlink" Id="rId98"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5"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73" Target="https://www.enterprisesurveys.org" TargetMode="External" /><Relationship Type="http://schemas.openxmlformats.org/officeDocument/2006/relationships/hyperlink" Id="rId107" Target="https://www.imda.gov.sg/resources/press-releases-factsheets-and-speeches/press-releases/2025/asia-tech-x-singapore-turns-five" TargetMode="External" /><Relationship Type="http://schemas.openxmlformats.org/officeDocument/2006/relationships/hyperlink" Id="rId109" Target="https://www.startupblink.com/blog/innovators-business-environment-index/" TargetMode="External" /><Relationship Type="http://schemas.openxmlformats.org/officeDocument/2006/relationships/hyperlink" Id="rId108" Target="https://www.startupblink.com/startup-ecosystem/singapore" TargetMode="External" /><Relationship Type="http://schemas.openxmlformats.org/officeDocument/2006/relationships/hyperlink" Id="rId106"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2026-05-15T07:00:10Z</dcterms:created>
  <dcterms:modified xsi:type="dcterms:W3CDTF">2026-05-15T07:00:10Z</dcterms:modified>
</cp:coreProperties>
</file>

<file path=docProps/custom.xml><?xml version="1.0" encoding="utf-8"?>
<Properties xmlns="http://schemas.openxmlformats.org/officeDocument/2006/custom-properties" xmlns:vt="http://schemas.openxmlformats.org/officeDocument/2006/docPropsVTypes"/>
</file>