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Tầng 2 nhưng không đo Tầng 3/4. Chuyên đề chỉ phát biểu về phần bù Tầng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Tầng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Bức tranh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(innovation-driven so với resource-driven),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Tầng 1 (website nhị phân, tiệm cận bão hòa ở Advanced) và Tầng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Tầng 1 và Tầng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Tầng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Tầng 1–2, không Tầng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(Tier 1 = website only) sang</w:t>
      </w:r>
      <w:r>
        <w:t xml:space="preserve"> </w:t>
      </w:r>
      <w:r>
        <w:rPr>
          <w:bCs/>
          <w:b/>
        </w:rPr>
        <w:t xml:space="preserve">phụ thuộc giai đoạn</w:t>
      </w:r>
      <w:r>
        <w:t xml:space="preserve">: tương tác DAI×FSTS âm ở FSTS cao, Tầng 1 trở thành điểm nghẽn. Singapore (Tier 1+2) sang</w:t>
      </w:r>
      <w:r>
        <w:t xml:space="preserve"> </w:t>
      </w:r>
      <w:r>
        <w:rPr>
          <w:bCs/>
          <w:b/>
        </w:rPr>
        <w:t xml:space="preserve">mở rộng có điều kiện</w:t>
      </w:r>
      <w:r>
        <w:t xml:space="preserve">: tương tác DAI×FSTS² dương mạnh (β=3,119, p=0,005), Tầng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dbf03bfe856aa219791dbd3c40b9a33c42291cb"/>
    <w:p>
      <w:pPr>
        <w:pStyle w:val="Heading4"/>
      </w:pPr>
      <w:r>
        <w:t xml:space="preserve">2.3.4.3 Tái định hình Chỉ số áp dụng số: Tầng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Tầng 3–4, vượt xa lớp DAI Tầng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 ≥ 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Tầng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Tầng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(+0,093) là dấu hiệu bão hòa Tầng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Tầng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Tầng 1 là yếu tố vệ sinh bão hòa. Tại Emerging, DAI Tầng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Tầng 1 trong bối cảnh Tầng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Tầng 1.5/Tầng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111"/>
    <w:bookmarkEnd w:id="11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2026-06-23T12:18:29Z</dcterms:created>
  <dcterms:modified xsi:type="dcterms:W3CDTF">2026-06-23T12:18:29Z</dcterms:modified>
</cp:coreProperties>
</file>

<file path=docProps/custom.xml><?xml version="1.0" encoding="utf-8"?>
<Properties xmlns="http://schemas.openxmlformats.org/officeDocument/2006/custom-properties" xmlns:vt="http://schemas.openxmlformats.org/officeDocument/2006/docPropsVTypes"/>
</file>