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Luận án nghiên cứu mối quan hệ giữa quốc tế hóa và hiệu quả hoạt động kinh doanh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1977–2026 với k = 238 nghiên cứu; và (ii) phân tích thực nghiệm dữ liệu doanh nghiệp từ Khảo sát Doanh nghiệp của Ngân hàng Thế giới (WBES) trên 50 nền kinh tế châu Á và Thái Bình Dương (gồm Nhật Bản; mẫu hồi quy chính N = 81.022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phát hiện vững trên mẫu đầy đủ bảy nền đảo nhỏ Thái Bình Dương (</w:t>
      </w:r>
      <m:oMath>
        <m:r>
          <m:t>N</m:t>
        </m:r>
        <m:r>
          <m:rPr>
            <m:sty m:val="p"/>
          </m:rPr>
          <m:t>=</m:t>
        </m:r>
        <m:r>
          <m:t>1.450</m:t>
        </m:r>
      </m:oMath>
      <w:r>
        <w:t xml:space="preserve">, bảy cụm) là sự</w:t>
      </w:r>
      <w:r>
        <w:t xml:space="preserve"> </w:t>
      </w:r>
      <w:r>
        <w:rPr>
          <w:bCs/>
          <w:b/>
        </w:rPr>
        <w:t xml:space="preserve">mất cấu trúc của dạng chữ U ngược</w:t>
      </w:r>
      <w:r>
        <w:t xml:space="preserve"> </w:t>
      </w:r>
      <w:r>
        <w:t xml:space="preserve">(độ dốc không có ý nghĩa và độ cong chỉ đạt mức biên), với quan hệ nghiêng về một dạng âm đơn điệu như trường hợp giới hạn lý thuyết được luận án đặt tên là</w:t>
      </w:r>
      <w:r>
        <w:t xml:space="preserve"> </w:t>
      </w:r>
      <w:r>
        <w:rPr>
          <w:bCs/>
          <w:b/>
        </w:rPr>
        <w:t xml:space="preserve">gánh nặng quốc tế hóa bắt buộc (Forced Internationalization Penalty, FIP)</w:t>
      </w:r>
      <w:r>
        <w:t xml:space="preserve"> </w:t>
      </w:r>
      <w:r>
        <w:t xml:space="preserve">(hệ số âm mạnh chỉ xuất hiện trên bản dựng dữ liệu hạn chế ba cụm, nhạy cảm với phiên bản dữ liệu, xem Mục 4.7.8). Luận án đóng góp khung tích hợp đa tầng, khung phân loại thể chế ICRV, và cấu trúc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hoạt động kinh doanh của doanh nghiệp; thể chế; năng lực số; nhà quản trị cấp cao; châu Á; WBES; phi tuyến chữ U ngược.</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1977–2026 (k = 238 studies); and (ii) firm-level empirical analysis of World Bank Enterprise Survey (WBES) microdata across 50 Asian and Pacific economies (including Japan; main regression sample N = 81,022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exploratory evidence suggests the relationship may turn monotonically negative with no turning point, a theoretical boundary condition the dissertation names the</w:t>
      </w:r>
      <w:r>
        <w:t xml:space="preserve"> </w:t>
      </w:r>
      <w:r>
        <w:rPr>
          <w:bCs/>
          <w:b/>
        </w:rPr>
        <w:t xml:space="preserve">Forced Internationalization Penalty (FIP)</w:t>
      </w:r>
      <w:r>
        <w:t xml:space="preserve"> </w:t>
      </w:r>
      <w:r>
        <w:t xml:space="preserve">(the empirical estimate is data-version-sensitive; see Section 4.7.8).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bookmarkEnd w:id="22"/>
    <w:bookmarkStart w:id="23"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3"/>
    <w:bookmarkStart w:id="24" w:name="danh-mục-bảng"/>
    <w:p>
      <w:pPr>
        <w:pStyle w:val="Heading2"/>
      </w:pPr>
      <w:r>
        <w:t xml:space="preserve">DANH MỤC BẢNG</w:t>
      </w:r>
    </w:p>
    <w:p>
      <w:pPr>
        <w:pStyle w:val="FirstParagraph"/>
      </w:pPr>
      <w:r>
        <w:rPr>
          <w:bCs/>
          <w:b/>
        </w:rPr>
        <w:t xml:space="preserve">Bảng đánh số:</w:t>
      </w:r>
      <w:r>
        <w:t xml:space="preserve"> </w:t>
      </w:r>
      <w:r>
        <w:t xml:space="preserve">- Bảng 2.1. Tổng hợp hệ giả thuyết: phát biểu, dấu kỳ vọng, cơ sở lý thuyết và biến kiểm định (Chương 2, Mục 2.5.8)</w:t>
      </w:r>
      <w:r>
        <w:t xml:space="preserve"> </w:t>
      </w:r>
      <w:r>
        <w:t xml:space="preserve">- Bảng 2.2. Ánh xạ nghiên cứu thành phần, mục trình bày, giả thuyết (Chương 2, Mục 2.5.9)</w:t>
      </w:r>
      <w:r>
        <w:t xml:space="preserve"> </w:t>
      </w:r>
      <w:r>
        <w:t xml:space="preserve">- Bảng 3.1. Tổng hợp biến nghiên cứu của khung thực nghiệm đa quốc gia (Chương 3, Mục 3.3.6)</w:t>
      </w:r>
      <w:r>
        <w:t xml:space="preserve"> </w:t>
      </w:r>
      <w:r>
        <w:t xml:space="preserve">- Bảng 4.1. Phân tán năng suất lao động và đặc điểm quốc tế hóa theo phân nhóm con ICRV (Chương 4, Mục 4.1)</w:t>
      </w:r>
      <w:r>
        <w:t xml:space="preserve"> </w:t>
      </w:r>
      <w:r>
        <w:t xml:space="preserve">- Bảng 4.2. Đổi mới sáng tạo và chấp nhận số theo phân nhóm con ICRV (%) (Chương 4, Mục 4.1)</w:t>
      </w:r>
      <w:r>
        <w:t xml:space="preserve"> </w:t>
      </w:r>
      <w:r>
        <w:t xml:space="preserve">- Bảng 4.3. Đặc trưng doanh nghiệp Nhật Bản 2025 so với năm nền còn lại của Nhóm I (Chương 4, Mục 4.1.5)</w:t>
      </w:r>
      <w:r>
        <w:t xml:space="preserve"> </w:t>
      </w:r>
      <w:r>
        <w:t xml:space="preserve">- Bảng 4.4. Trung vị tỷ suất lợi nhuận trên doanh thu (ROS) theo nhóm ICRV (Chương 4, Mục 4.1.8)</w:t>
      </w:r>
      <w:r>
        <w:t xml:space="preserve"> </w:t>
      </w:r>
      <w:r>
        <w:t xml:space="preserve">- Bảng 4.5. Tiến triển hệ số theo chuỗi mô hình phân tầng, Singapore 2023 (Chương 4, Mục 4.3.8)</w:t>
      </w:r>
      <w:r>
        <w:t xml:space="preserve"> </w:t>
      </w:r>
      <w:r>
        <w:t xml:space="preserve">- Bảng 4.6. Tiến triển mô hình của P7 trên khung 50 nền: điểm uốn và kiểm định Lind–Mehlum (Chương 4, Mục 4.6.1)</w:t>
      </w:r>
      <w:r>
        <w:t xml:space="preserve"> </w:t>
      </w:r>
      <w:r>
        <w:t xml:space="preserve">- Bảng 4.7. Điểm uốn theo nhóm ICRV, khung 50 nền (Chương 4, Mục 4.6.2)</w:t>
      </w:r>
      <w:r>
        <w:t xml:space="preserve"> </w:t>
      </w:r>
      <w:r>
        <w:t xml:space="preserve">- Bảng 4.8. Điểm uốn theo đợt khảo sát, Ấn Độ (Chương 4, Mục 4.8.1)</w:t>
      </w:r>
      <w:r>
        <w:t xml:space="preserve"> </w:t>
      </w:r>
      <w:r>
        <w:t xml:space="preserve">- Bảng 4.9. Hiệu ứng cường độ xuất khẩu lên năng suất qua chuỗi mô hình, Nhật Bản 2025 (Chương 4, Mục 4.9.1)</w:t>
      </w:r>
      <w:r>
        <w:t xml:space="preserve"> </w:t>
      </w:r>
      <w:r>
        <w:t xml:space="preserve">- Bảng 4.10. Tổng hợp ước lượng các nghiên cứu thành phần thực nghiệm (Chương 4, Mục 4.11)</w:t>
      </w:r>
    </w:p>
    <w:p>
      <w:pPr>
        <w:pStyle w:val="BodyText"/>
      </w:pPr>
      <w:r>
        <w:rPr>
          <w:bCs/>
          <w:b/>
        </w:rPr>
        <w:t xml:space="preserve">Bảng chuyên đề (không đánh số, theo mục):</w:t>
      </w:r>
      <w:r>
        <w:t xml:space="preserve"> </w:t>
      </w:r>
      <w:r>
        <w:t xml:space="preserve">- Bảng định nghĩa biến, Nghiên cứu P3 Việt Nam (Chương 3, Mục 3.4.5.1)</w:t>
      </w:r>
      <w:r>
        <w:t xml:space="preserve"> </w:t>
      </w:r>
      <w:r>
        <w:t xml:space="preserve">- Bảng định nghĩa biến, Nghiên cứu P4 Singapore (Chương 3, Mục 3.4.5.2)</w:t>
      </w:r>
      <w:r>
        <w:t xml:space="preserve"> </w:t>
      </w:r>
      <w:r>
        <w:t xml:space="preserve">- Bảng định nghĩa biến, Nghiên cứu P5 Trung Quốc (Chương 3, Mục 3.4.5.3)</w:t>
      </w:r>
      <w:r>
        <w:t xml:space="preserve"> </w:t>
      </w:r>
      <w:r>
        <w:t xml:space="preserve">- Bảng định nghĩa biến, Nghiên cứu P7 đa quốc gia (Chương 3, Mục 3.4.5.4)</w:t>
      </w:r>
      <w:r>
        <w:t xml:space="preserve"> </w:t>
      </w:r>
      <w:r>
        <w:t xml:space="preserve">- Bảng định nghĩa biến, Nghiên cứu P8 SIDS (Chương 3, Mục 3.4.5.5)</w:t>
      </w:r>
      <w:r>
        <w:t xml:space="preserve"> </w:t>
      </w:r>
      <w:r>
        <w:t xml:space="preserve">- Bảng tóm tắt phương pháp: Kế thừa và đóng góp mới (Chương 3, Mục 3.6)</w:t>
      </w:r>
      <w:r>
        <w:t xml:space="preserve"> </w:t>
      </w:r>
      <w:r>
        <w:t xml:space="preserve">- Bảng tổng hợp kết quả kiểm định hệ giả thuyết H1–H6, H1b, H1c (Chương 4, Mục 4.11)</w:t>
      </w:r>
    </w:p>
    <w:bookmarkEnd w:id="24"/>
    <w:bookmarkStart w:id="25" w:name="danh-mục-hình"/>
    <w:p>
      <w:pPr>
        <w:pStyle w:val="Heading2"/>
      </w:pPr>
      <w:r>
        <w:t xml:space="preserve">DANH MỤC HÌNH</w:t>
      </w:r>
    </w:p>
    <w:p>
      <w:pPr>
        <w:numPr>
          <w:ilvl w:val="0"/>
          <w:numId w:val="1001"/>
        </w:numPr>
        <w:pStyle w:val="Compact"/>
      </w:pPr>
      <w:r>
        <w:t xml:space="preserve">Hình 2.1. Khung khái niệm tích hợp đa tầng CDCM (Chương 2, Mục 2.5)</w:t>
      </w:r>
    </w:p>
    <w:p>
      <w:pPr>
        <w:numPr>
          <w:ilvl w:val="0"/>
          <w:numId w:val="1001"/>
        </w:numPr>
        <w:pStyle w:val="Compact"/>
      </w:pPr>
      <w:r>
        <w:t xml:space="preserve">Hình 3.1. Quy trình nghiên cứu của luận án (Chương 3, Mục 3.1.2)</w:t>
      </w:r>
    </w:p>
    <w:p>
      <w:pPr>
        <w:numPr>
          <w:ilvl w:val="0"/>
          <w:numId w:val="1001"/>
        </w:numPr>
        <w:pStyle w:val="Compact"/>
      </w:pPr>
      <w:r>
        <w:t xml:space="preserve">Hình 4.1. Thành phần mẫu gộp theo nhóm ICRV (Chương 4, Mục 4.1)</w:t>
      </w:r>
    </w:p>
    <w:p>
      <w:pPr>
        <w:numPr>
          <w:ilvl w:val="0"/>
          <w:numId w:val="1001"/>
        </w:numPr>
        <w:pStyle w:val="Compact"/>
      </w:pPr>
      <w:r>
        <w:t xml:space="preserve">Hình 4.2. Quy mô mẫu gộp theo năm khảo sát (Chương 4, Mục 4.1)</w:t>
      </w:r>
    </w:p>
    <w:p>
      <w:pPr>
        <w:numPr>
          <w:ilvl w:val="0"/>
          <w:numId w:val="1001"/>
        </w:numPr>
        <w:pStyle w:val="Compact"/>
      </w:pPr>
      <w:r>
        <w:t xml:space="preserve">Hình 4.3. Quỹ đạo tăng trưởng theo nhóm ICRV (Chương 4, Mục 4.1)</w:t>
      </w:r>
    </w:p>
    <w:p>
      <w:pPr>
        <w:numPr>
          <w:ilvl w:val="0"/>
          <w:numId w:val="1001"/>
        </w:numPr>
        <w:pStyle w:val="Compact"/>
      </w:pPr>
      <w:r>
        <w:t xml:space="preserve">Hình 4.4. Phân bố quy mô doanh nghiệp theo nhóm ICRV (Chương 4, Mục 4.1)</w:t>
      </w:r>
    </w:p>
    <w:p>
      <w:pPr>
        <w:numPr>
          <w:ilvl w:val="0"/>
          <w:numId w:val="1001"/>
        </w:numPr>
        <w:pStyle w:val="Compact"/>
      </w:pPr>
      <w:r>
        <w:t xml:space="preserve">Hình 4.5. Phổ năng lực công nghệ theo sáu nhóm ICRV (Chương 4, Mục 4.1)</w:t>
      </w:r>
    </w:p>
    <w:p>
      <w:pPr>
        <w:numPr>
          <w:ilvl w:val="0"/>
          <w:numId w:val="1001"/>
        </w:numPr>
        <w:pStyle w:val="Compact"/>
      </w:pPr>
      <w:r>
        <w:t xml:space="preserve">Hình 4.6. Phân bố mật độ năng suất lao động theo nhóm ICRV (Chương 4, Mục 4.1)</w:t>
      </w:r>
    </w:p>
    <w:p>
      <w:pPr>
        <w:numPr>
          <w:ilvl w:val="0"/>
          <w:numId w:val="1001"/>
        </w:numPr>
        <w:pStyle w:val="Compact"/>
      </w:pPr>
      <w:r>
        <w:t xml:space="preserve">Hình 4.7. Biểu đồ radar năng lực và quốc tế hóa theo nhóm ICRV (Chương 4, Mục 4.1)</w:t>
      </w:r>
    </w:p>
    <w:p>
      <w:pPr>
        <w:numPr>
          <w:ilvl w:val="0"/>
          <w:numId w:val="1001"/>
        </w:numPr>
        <w:pStyle w:val="Compact"/>
      </w:pPr>
      <w:r>
        <w:t xml:space="preserve">Hình 4.8. Họ đường cong quốc tế hóa và hiệu quả phụ thuộc chế độ thể chế ICRV (Chương 4, Mục 4.6.2)</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FGLS</w:t>
            </w:r>
          </w:p>
        </w:tc>
        <w:tc>
          <w:tcPr/>
          <w:p>
            <w:pPr>
              <w:pStyle w:val="Compact"/>
              <w:jc w:val="left"/>
            </w:pPr>
            <w:r>
              <w:t xml:space="preserve">Feasible Generalized Least Squares</w:t>
            </w:r>
          </w:p>
        </w:tc>
        <w:tc>
          <w:tcPr/>
          <w:p>
            <w:pPr>
              <w:pStyle w:val="Compact"/>
              <w:jc w:val="left"/>
            </w:pPr>
            <w:r>
              <w:t xml:space="preserve">Bình phương nhỏ nhất tổng quát khả thi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(cấu trúc lý thuyết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phân tích tổng hợp</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UPI</w:t>
            </w:r>
          </w:p>
        </w:tc>
        <w:tc>
          <w:tcPr/>
          <w:p>
            <w:pPr>
              <w:pStyle w:val="Compact"/>
              <w:jc w:val="left"/>
            </w:pPr>
            <w:r>
              <w:t xml:space="preserve">Unified Payments Interface</w:t>
            </w:r>
          </w:p>
        </w:tc>
        <w:tc>
          <w:tcPr/>
          <w:p>
            <w:pPr>
              <w:pStyle w:val="Compact"/>
              <w:jc w:val="left"/>
            </w:pPr>
            <w:r>
              <w:t xml:space="preserve">Hạ tầng thanh toán hợp nhất (Ấn Độ)</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6"/>
    <w:bookmarkStart w:id="27"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P1–P11) và một chương sách của nghiên cứu sinh. Các công trình được phân tách rõ theo trạng thái công bố.</w:t>
      </w:r>
    </w:p>
    <w:p>
      <w:pPr>
        <w:pStyle w:val="BodyText"/>
      </w:pPr>
      <w:r>
        <w:rPr>
          <w:bCs/>
          <w:b/>
        </w:rPr>
        <w:t xml:space="preserve">A. Đã công bố (đã bình duyệt)</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(Phân tích tổng hợp cơ sở,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380 doanh nghiệp WBES, ước lượng FGLS, lăng kính thượng tầng quản trị; được nghiên cứu thành phần P9 trích dẫn như công trình tiền đề của tác giả.)</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Trung Quốc 2012–2024 (bối cảnh trung bình cao).</w:t>
      </w:r>
      <w:r>
        <w:t xml:space="preserve"> </w:t>
      </w:r>
      <w:r>
        <w:rPr>
          <w:iCs/>
          <w:i/>
        </w:rPr>
        <w:t xml:space="preserve">[Bản thảo đang bình duyệt.]</w:t>
      </w:r>
    </w:p>
    <w:p>
      <w:pPr>
        <w:numPr>
          <w:ilvl w:val="0"/>
          <w:numId w:val="1003"/>
        </w:numPr>
        <w:pStyle w:val="Compact"/>
      </w:pPr>
      <w:r>
        <w:t xml:space="preserve">Nghiên cứu thành phần P6, phân tích tổng hợp ba tầng mở rộng 1977–2026.</w:t>
      </w:r>
      <w:r>
        <w:t xml:space="preserve"> </w:t>
      </w:r>
      <w:r>
        <w:rPr>
          <w:iCs/>
          <w:i/>
        </w:rPr>
        <w:t xml:space="preserve">[Bản thảo đang bình duyệt.]</w:t>
      </w:r>
    </w:p>
    <w:p>
      <w:pPr>
        <w:numPr>
          <w:ilvl w:val="0"/>
          <w:numId w:val="1003"/>
        </w:numPr>
        <w:pStyle w:val="Compact"/>
      </w:pPr>
      <w:r>
        <w:t xml:space="preserve">Nghiên cứu thành phần P7, Kiểm định toàn mẫu 50 nền kinh tế châu Á và Thái Bình Dương (nghiên cứu tổng hợp đỉnh).</w:t>
      </w:r>
      <w:r>
        <w:t xml:space="preserve"> </w:t>
      </w:r>
      <w:r>
        <w:rPr>
          <w:iCs/>
          <w:i/>
        </w:rPr>
        <w:t xml:space="preserve">[Bản thảo đang chỉnh sửa theo phản biện.]</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numPr>
          <w:ilvl w:val="0"/>
          <w:numId w:val="1003"/>
        </w:numPr>
        <w:pStyle w:val="Compact"/>
      </w:pPr>
      <w:r>
        <w:t xml:space="preserve">Nghiên cứu thành phần P10, Nhật Bản: kiểm định biên trên của phổ thể chế trên đợt khảo sát WBES khai mở 2025.</w:t>
      </w:r>
      <w:r>
        <w:t xml:space="preserve"> </w:t>
      </w:r>
      <w:r>
        <w:rPr>
          <w:iCs/>
          <w:i/>
        </w:rPr>
        <w:t xml:space="preserve">[Bản thảo chuẩn bị gửi Asian Business &amp; Management.]</w:t>
      </w:r>
    </w:p>
    <w:p>
      <w:pPr>
        <w:numPr>
          <w:ilvl w:val="0"/>
          <w:numId w:val="1003"/>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bCs/>
          <w:b/>
        </w:rPr>
        <w:t xml:space="preserve">C. Sản phẩm phần mềm (đăng ký quyền tác giả)</w:t>
      </w:r>
    </w:p>
    <w:p>
      <w:pPr>
        <w:numPr>
          <w:ilvl w:val="0"/>
          <w:numId w:val="1004"/>
        </w:numPr>
        <w:pStyle w:val="Compact"/>
      </w:pPr>
      <w:r>
        <w:t xml:space="preserve">Đỗ Thùy Hương (2026).</w:t>
      </w:r>
      <w:r>
        <w:t xml:space="preserve"> </w:t>
      </w:r>
      <w:r>
        <w:rPr>
          <w:iCs/>
          <w:i/>
        </w:rPr>
        <w:t xml:space="preserve">M-AIDA — Meta-Analysis Intelligent Data Assistant (phiên bản 7.0)</w:t>
      </w:r>
      <w:r>
        <w:t xml:space="preserve"> </w:t>
      </w:r>
      <w:r>
        <w:t xml:space="preserve">[Phần mềm máy tính]. Trường Đại học Cần Thơ.</w:t>
      </w:r>
      <w:r>
        <w:t xml:space="preserve"> </w:t>
      </w:r>
      <w:r>
        <w:rPr>
          <w:iCs/>
          <w:i/>
        </w:rPr>
        <w:t xml:space="preserve">(Công cụ trích xuất dữ liệu cỡ ảnh hưởng hỗ trợ bằng mô hình ngôn ngữ lớn, với kiểm chứng toàn bộ của nghiên cứu sinh và cơ chế khóa dữ liệu bất biến; xây dựng phục vụ trực tiếp Nghiên cứu thành phần P6. Đã nộp hồ sơ đăng ký quyền tác giả; mô tả chi tiết ở Phụ lục B.)</w:t>
      </w:r>
    </w:p>
    <w:p>
      <w:pPr>
        <w:pStyle w:val="FirstParagraph"/>
      </w:pPr>
      <w:r>
        <w:rPr>
          <w:iCs/>
          <w:i/>
        </w:rPr>
        <w:t xml:space="preserve">Ghi chú về liêm chính học thuật: Theo định hướng luận án kết hợp công trình thành phần, các nghiên cứu P1–P11 là một phần nội dung nghiên cứu của chính luận án (P11 là sản phẩm phái sinh theo định hướng phát triển, khai thác lại bằng chứng của luận án); do đó trong các chương, chúng được dẫn chiếu bằng nhãn nội bộ (P1–P10) thay vì trích dẫn tác giả–năm. Các bản thảo ở mục B CHƯA được công bố/bình duyệt chính thức, không được diễn giải như bằng chứng đã qua bình duyệt độc lập; tên tạp chí mục tiêu được nêu để minh bạch định hướng công bố; trạng thái bình duyệt sẽ được cập nhật tại thời điểm bảo vệ. NCS cập nhật trạng thái tại thời điểm bảo vệ.</w:t>
      </w:r>
    </w:p>
    <w:p>
      <w:r>
        <w:pict>
          <v:rect style="width:0;height:1.5pt" o:hralign="center" o:hrstd="t" o:hr="t"/>
        </w:pict>
      </w:r>
    </w:p>
    <w:bookmarkEnd w:id="2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2026-06-23T12:18:28Z</dcterms:created>
  <dcterms:modified xsi:type="dcterms:W3CDTF">2026-06-23T12:18:28Z</dcterms:modified>
</cp:coreProperties>
</file>

<file path=docProps/custom.xml><?xml version="1.0" encoding="utf-8"?>
<Properties xmlns="http://schemas.openxmlformats.org/officeDocument/2006/custom-properties" xmlns:vt="http://schemas.openxmlformats.org/officeDocument/2006/docPropsVTypes"/>
</file>