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49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87.987 doanh nghiệp, 99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87.987 doanh nghiệp / 49 nền, gồm Nhật Bản; mẫu gộp phân loại 96.415 doanh nghiệp / 52 nền).</w:t>
      </w:r>
    </w:p>
    <w:p>
      <w:pPr>
        <w:pStyle w:val="BlockText"/>
      </w:pPr>
      <w:r>
        <w:rPr>
          <w:iCs/>
          <w:i/>
        </w:rPr>
        <w:t xml:space="preserve">Ghi chú dữ liệu: Chuyên đề sử dụng hai khung dữ liệu bổ trợ, thống nhất về danh sách 49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87.987 doanh nghiệp, 99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87.987 doanh nghiệp / 49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N=80.373 và M5 N=78.445. Sau khi đã chạy vòng tái ước lượng 49 nền gồm Nhật Bản, mô tả và ước lượng nay dùng chung MỘT khung 49 nền. Trường hợp biên SIDS: Nhóm VI gồm 7 nền Pacific (Timor-Leste bị loại theo phân loại Ngân hàng Thế giới và Liên Hợp Quốc — không phải quốc đảo Thái Bình Dương). Lưu ý: các tỷ lệ mô tả Nhóm VI ở Mục 2.3.4–2.3.6 tính trên tập mô tả mở rộng và đang chờ re-lock theo 7 nền.</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49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87.987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(n=87.987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(n=87.987)</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trên một giai đoạn dài. Chuyên đề này lấp khoảng trống thực tiễn đó với</w:t>
      </w:r>
      <w:r>
        <w:t xml:space="preserve"> </w:t>
      </w:r>
      <w:r>
        <w:rPr>
          <w:bCs/>
          <w:b/>
        </w:rPr>
        <w:t xml:space="preserve">mẫu gộp mô tả gồm 87.987 doanh nghiệp, 99 cặp nền kinh tế × năm (2006–2026)</w:t>
      </w:r>
      <w:r>
        <w:t xml:space="preserve">, gấp hơn 2 lần phạm vi của Đỗ &amp; Phan (2026, VEFR), và khung phân loại thống nhất với bộ dữ liệu ước lượng của luận án (87.987 doanh nghiệp / 49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87.987 doanh nghiệp, 99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49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(7 nền). Mẫu gộp mô tả phủ</w:t>
      </w:r>
      <w:r>
        <w:t xml:space="preserve"> </w:t>
      </w:r>
      <w:r>
        <w:rPr>
          <w:bCs/>
          <w:b/>
        </w:rPr>
        <w:t xml:space="preserve">đủ 49/49 nền</w:t>
      </w:r>
      <w:r>
        <w:t xml:space="preserve">: Nhóm I 6/6 (gồm Nhật Bản), II 6/6 (đủ khối GCC), III 6/6, IV 7/7, V 17/17 (gồm Lebanon, Yemen), VI 7/7 (7 Pacific).</w:t>
      </w:r>
    </w:p>
    <w:p>
      <w:pPr>
        <w:pStyle w:val="FirstParagraph"/>
      </w:pPr>
      <w:r>
        <w:rPr>
          <w:bCs/>
          <w:b/>
        </w:rPr>
        <w:t xml:space="preserve">B. Nhóm VI SIDS (7 nền Pacific, n=1.781, ~2,0% mẫu gộp)</w:t>
      </w:r>
      <w:r>
        <w:t xml:space="preserve">: Fiji, Papua New Guinea, Solomon Islands, Tonga, Vanuatu, Samoa, Kiribati (2025). Timor-Leste bị loại vì không phải quốc đảo Thái Bình Dương theo phân loại Ngân hàng Thế giới và Liên Hợp Quốc.</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99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49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49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87.987 doanh nghiệp, 49 nền kinh tế, 99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49 nền kinh tế (87.987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(49 nền kinh tế châu Á và Thái Bình Dương, phân tách 42 phạm vi chính và 8 trường hợp biên); (ii) quy trình lấy mẫu (lấy mẫu chính thức WBES); (iii) lý giải quy mô mẫu (khung phân tích 87.987 DN / 99 cặp / 49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7.987 doanh nghiệp, 49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87.987 doanh nghiệp, 49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49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87.987 DN / 49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49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n=1.781 (~2,0% mẫu gộp); FDI cao nhất (20,0%, do MNE du lịch/viễn thông); đổi mới sản phẩm cao nhất (34,2%, đổi mới bằng nguồn lực hạn chế); website khá cao ngoại trừ Kiribati (18,7%).</w:t>
      </w:r>
    </w:p>
    <w:bookmarkEnd w:id="44"/>
    <w:bookmarkStart w:id="45" w:name="X84d72f71a59a31aa6c7de30d856d3d82aa151b2"/>
    <w:p>
      <w:pPr>
        <w:pStyle w:val="Heading4"/>
      </w:pPr>
      <w:r>
        <w:t xml:space="preserve">2.3.2.3 Danh sách 49 nền kinh tế theo nhóm ICRV (căn theo nhãn dữ liệu)</w:t>
      </w:r>
    </w:p>
    <w:p>
      <w:pPr>
        <w:pStyle w:val="FirstParagraph"/>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49 nền kinh tế</w:t>
            </w:r>
          </w:p>
        </w:tc>
        <w:tc>
          <w:tcPr/>
          <w:p>
            <w:pPr>
              <w:pStyle w:val="Compact"/>
              <w:jc w:val="center"/>
            </w:pPr>
            <w:r>
              <w:rPr>
                <w:bCs/>
                <w:b/>
              </w:rPr>
              <w:t xml:space="preserve">87.987</w:t>
            </w:r>
            <w:r>
              <w:t xml:space="preserve"> </w:t>
            </w:r>
            <w:r>
              <w:t xml:space="preserve">(mẫu gộp mô tả)</w:t>
            </w:r>
          </w:p>
        </w:tc>
      </w:tr>
    </w:tbl>
    <w:p>
      <w:pPr>
        <w:pStyle w:val="BodyText"/>
      </w:pPr>
      <w:r>
        <w:rPr>
          <w:iCs/>
          <w:i/>
        </w:rPr>
        <w:t xml:space="preserve">Ghi chú: Cột N là số doanh nghiệp trong mẫu gộp mô tả (87.987 DN / 49 nền kinh tế / 99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49 nền/87.987 quan sát gồm Nhật Bản (mẫu gộp phân loại 96.415 / 52 nền); vòng tái ước lượng 49 nền đã hoàn tất nên mô tả và ước lượng nay dùng chung MỘT khung 49 nền (hồi quy M2 N=80.373; M5 N=78.445).</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87.987 doanh nghiệp</w:t>
      </w:r>
      <w:r>
        <w:t xml:space="preserve">, 49 nền kinh tế,</w:t>
      </w:r>
      <w:r>
        <w:t xml:space="preserve"> </w:t>
      </w:r>
      <w:r>
        <w:rPr>
          <w:bCs/>
          <w:b/>
        </w:rPr>
        <w:t xml:space="preserve">99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87.987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7/7 nền SIDS</w:t>
      </w:r>
      <w:r>
        <w:t xml:space="preserve"> </w:t>
      </w:r>
      <w:r>
        <w:t xml:space="preserve">(FJI, PNG, SLB, TON, VUT, WSM, KIR).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99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49 nền (FSTS = d3b + d3c; CAGR việc làm từ l1/l2 trên 3 năm tài khóa). ¹Nhóm II: đủ 6/6 nền GCC (Bahrain, Brunei, Kuwait, Oman, Qatar, Saudi Arabia). ²Nhóm VI: đủ 7/7 nền Pacific (n=1.781).</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49 nền (biến h1/h5/h8/b8/c22b; mã 1=có, 2=không; mã âm = thiếu). ¹Nhóm II: đủ 6/6 nền GCC, đặc trưng dầu mỏ: R&amp;D thấp (7,0%), nữ quản lý cấp cao rất thấp (4,6%), website 50,2%. ²Nhóm VI: đủ 7/7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7/7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49 nền (SME = &lt;100 lao động thường xuyên, biến l1; FDI = sở hữu nước ngoài ≥10%, biến b2b). ¹Nhóm II: đủ 6/6 nền GCC. ²Nhóm VI: đủ 7/7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7/7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49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43/49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99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99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49 nền với 87.987 doanh nghiệp / 99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49 nền kinh tế châu Á – Thái Bình Dương (khung phân tích 87.987 doanh nghiệp / 99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49 nền kinh tế theo nhóm ICRV, mẫu gộp mô tả 87.987 doanh nghiệp, 99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(7 nền Pacific)</w:t>
            </w:r>
          </w:p>
        </w:tc>
        <w:tc>
          <w:tcPr/>
          <w:p>
            <w:pPr>
              <w:pStyle w:val="Compact"/>
              <w:jc w:val="left"/>
            </w:pPr>
            <w:r>
              <w:t xml:space="preserve">Fiji (2009, 2025), Solomon Islands (2015, 2025), Tonga (2009, 2024), Samoa (2009, 2023), Vanuatu (2009, 2023), Papua New Guinea (2015, 2024), Kiribati (2025)</w:t>
            </w:r>
          </w:p>
        </w:tc>
        <w:tc>
          <w:tcPr/>
          <w:p>
            <w:pPr>
              <w:pStyle w:val="Compact"/>
              <w:jc w:val="right"/>
            </w:pPr>
            <w:r>
              <w:t xml:space="preserve">13</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49 nền kinh tế</w:t>
            </w:r>
          </w:p>
        </w:tc>
        <w:tc>
          <w:tcPr/>
          <w:p>
            <w:pPr>
              <w:pStyle w:val="Compact"/>
              <w:jc w:val="right"/>
            </w:pPr>
            <w:r>
              <w:rPr>
                <w:bCs/>
                <w:b/>
              </w:rPr>
              <w:t xml:space="preserve">103</w:t>
            </w:r>
          </w:p>
        </w:tc>
        <w:tc>
          <w:tcPr/>
          <w:p>
            <w:pPr>
              <w:pStyle w:val="Compact"/>
              <w:jc w:val="right"/>
            </w:pPr>
            <w:r>
              <w:rPr>
                <w:bCs/>
                <w:b/>
              </w:rPr>
              <w:t xml:space="preserve">87.987</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87.987 doanh nghiệp / 49 nền, gồm Nhật Bản; mẫu gộp phân loại 96.415 / 52 nền) được chạy theo quy trình tại Phụ lục A; vòng tái ước lượng 49 nền gồm Nhật Bản đã hoàn tất nên mô tả và ước lượng nay dùng chung MỘT khung 49 nền (hồi quy M2 N=80.373; M5 N=78.445).</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2026-06-19T17:07:07Z</dcterms:created>
  <dcterms:modified xsi:type="dcterms:W3CDTF">2026-06-19T17:07:07Z</dcterms:modified>
</cp:coreProperties>
</file>

<file path=docProps/custom.xml><?xml version="1.0" encoding="utf-8"?>
<Properties xmlns="http://schemas.openxmlformats.org/officeDocument/2006/custom-properties" xmlns:vt="http://schemas.openxmlformats.org/officeDocument/2006/docPropsVTypes"/>
</file>