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Khung phân loại và phân tích được neo theo bản khóa canonical của luận án:</w:t>
      </w:r>
      <w:r>
        <w:t xml:space="preserve"> </w:t>
      </w:r>
      <w:r>
        <w:rPr>
          <w:bCs/>
          <w:b/>
        </w:rPr>
        <w:t xml:space="preserve">49 nền kinh tế</w:t>
      </w:r>
      <w:r>
        <w:t xml:space="preserve"> </w:t>
      </w:r>
      <w:r>
        <w:t xml:space="preserve">(khung phân tích 91.982 doanh nghiệp; pool phân loại 96.415 doanh nghiệp / 52 nền) với 6 phân nhóm con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của chuyên đề (Bảng 2.3.3–2.3.8) được trình bày trên</w:t>
      </w:r>
      <w:r>
        <w:t xml:space="preserve"> </w:t>
      </w:r>
      <w:r>
        <w:rPr>
          <w:bCs/>
          <w:b/>
        </w:rPr>
        <w:t xml:space="preserve">pool mô tả rộng hơn gồm 101.185 doanh nghiệp · 47 nền · 108 cặp quốc gia × năm · 14 mốc khảo sát</w:t>
      </w:r>
      <w:r>
        <w:t xml:space="preserve"> </w:t>
      </w:r>
      <w:r>
        <w:t xml:space="preserve">từ World Bank Enterprise Surveys (WBES) theo bản khóa mô tả CĐ1, kế thừa và mở rộng từ 17 nước châu Á mới nổi (~40.633 doanh nghiệp) đã được tác giả công bố trước đó (Đỗ &amp; Phan, 2026 — VEFR).</w:t>
      </w:r>
    </w:p>
    <w:p>
      <w:pPr>
        <w:pStyle w:val="BlockText"/>
      </w:pPr>
      <w:r>
        <w:rPr>
          <w:iCs/>
          <w:i/>
        </w:rPr>
        <w:t xml:space="preserve">Ghi chú dữ liệu: Headline của chuyên đề neo theo bản khóa canonical của luận án — 49 nền kinh tế (khung phân tích 91.982 doanh nghiệp; pool phân loại 96.415 doanh nghiệp / 52 nền) sau khi chuẩn hóa lại và xử lý trùng lặp dữ liệu panel; trường hợp biên SIDS gồm 7 nền kinh tế Thái Bình Dương. Riêng các bảng thống kê mô tả §2.3.3–2.3.8 (phân tán năng suất, FSTS, đổi mới, R&amp;D, tham nhũng, ngành) vẫn báo cáo trên</w:t>
      </w:r>
      <w:r>
        <w:rPr>
          <w:iCs/>
          <w:i/>
        </w:rPr>
        <w:t xml:space="preserve"> </w:t>
      </w:r>
      <w:r>
        <w:rPr>
          <w:bCs/>
          <w:b/>
          <w:iCs/>
          <w:i/>
        </w:rPr>
        <w:t xml:space="preserve">pool mô tả CĐ1 gồm 101.185 doanh nghiệp · 47 nền · 108 cặp</w:t>
      </w:r>
      <w:r>
        <w:rPr>
          <w:iCs/>
          <w:i/>
        </w:rPr>
        <w:t xml:space="preserve"> </w:t>
      </w:r>
      <w:r>
        <w:rPr>
          <w:iCs/>
          <w:i/>
        </w:rPr>
        <w:t xml:space="preserve">(102 cặp theo khung phân tích luận án) — đây là bản khóa mô tả riêng của chuyên đề, sẽ được đồng bộ về khung 49 nền / 91.982 khi dựng lại pipeline raw đa biến (R&amp;D, đổi mới, tham nhũng, ngành chưa có trong master phân tích).</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classification and analytic frame is anchored to the dissertation’s canonical lock:</w:t>
      </w:r>
      <w:r>
        <w:t xml:space="preserve"> </w:t>
      </w:r>
      <w:r>
        <w:rPr>
          <w:bCs/>
          <w:b/>
        </w:rPr>
        <w:t xml:space="preserve">49 economies</w:t>
      </w:r>
      <w:r>
        <w:t xml:space="preserve"> </w:t>
      </w:r>
      <w:r>
        <w:t xml:space="preserve">(analytic frame 91,982 firms; classification pool 96,415 firms / 52 economies) with six sub-regimes of ICRV (Institutional Context Regime Variation): Advanced innovation-driven, Advanced resource-driven, Upper-middle, Lower-middle transition, Emerging, and Pacific SIDS (boundary case extension). The essay’s descriptive analysis (Tables 2.3.3–2.3.8) is reported over a broader CĐ1 descriptive pool of</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49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nằm</w:t>
      </w:r>
      <w:r>
        <w:t xml:space="preserve"> </w:t>
      </w:r>
      <w:r>
        <w:rPr>
          <w:iCs/>
          <w:i/>
        </w:rPr>
        <w:t xml:space="preserve">ngoài</w:t>
      </w:r>
      <w:r>
        <w:t xml:space="preserve"> </w:t>
      </w:r>
      <w:r>
        <w:t xml:space="preserve">cửa sổ dữ liệu phân tích của chuyên đề (2009–2025); chúng được nêu để định khung diễn giải vĩ mô và định hướng chính sách, chứ không phản ánh trong các thống kê mô tả — vốn được tính trên dữ liệu WBES đến hết 2025.</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w:t>
      </w:r>
      <w:r>
        <w:t xml:space="preserve"> </w:t>
      </w:r>
      <w:r>
        <w:rPr>
          <w:bCs/>
          <w:b/>
        </w:rPr>
        <w:t xml:space="preserve">49 nền kinh tế</w:t>
      </w:r>
      <w:r>
        <w:t xml:space="preserve"> </w:t>
      </w:r>
      <w:r>
        <w:t xml:space="preserve">(khung phân tích 91.982 doanh nghiệp; pool phân loại 96.415 DN / 52 nền) trên giai đoạn dài 2009–2025. Chuyên đề này lấp khoảng trống thực tiễn đó: headline neo theo bản khóa canonical 49 nền / 91.982 doanh nghiệp, trong khi phần thống kê mô tả §2.3.3–2.3.8 được tính trên</w:t>
      </w:r>
      <w:r>
        <w:t xml:space="preserve"> </w:t>
      </w:r>
      <w:r>
        <w:rPr>
          <w:bCs/>
          <w:b/>
        </w:rPr>
        <w:t xml:space="preserve">pool mô tả CĐ1 gồm 101.185 doanh nghiệp xuyên 47 nền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49 nền kinh tế châu Á và Thái Bình Dương</w:t>
      </w:r>
      <w:r>
        <w:t xml:space="preserve"> </w:t>
      </w:r>
      <w:r>
        <w:t xml:space="preserve">theo bản khóa canonical (khung phân tích 91.982 doanh nghiệp; pool phân loại 96.415 DN / 52 nền; phạm vi chính châu Á + SIDS Thái Bình Dương mở rộng trường hợp biên) trong giai đoạn</w:t>
      </w:r>
      <w:r>
        <w:t xml:space="preserve"> </w:t>
      </w:r>
      <w:r>
        <w:rPr>
          <w:bCs/>
          <w:b/>
        </w:rPr>
        <w:t xml:space="preserve">2009–2025</w:t>
      </w:r>
      <w:r>
        <w:t xml:space="preserve">. Các bảng thống kê mô tả §2.3.3–2.3.8 hiển thị theo pool mô tả CĐ1 (101.185 doanh nghiệp / 47 nền) — xem ghi chú dữ liệu ở Tóm tắt.</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49 nền kinh tế (khung phân tích; pool phân loại 52 nền);</w:t>
      </w:r>
    </w:p>
    <w:p>
      <w:pPr>
        <w:numPr>
          <w:ilvl w:val="0"/>
          <w:numId w:val="1005"/>
        </w:numPr>
        <w:pStyle w:val="Compact"/>
      </w:pPr>
      <w:r>
        <w:t xml:space="preserve">Phân tích thực trạng đa chiều hiệu quả doanh nghiệp ở 40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40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 Upper-middle (6 nước)</w:t>
      </w:r>
      <w:r>
        <w:t xml:space="preserve">: Trung Quốc, Malaysia, Thái Lan, Kazakhstan, Armenia, Georgia.</w:t>
      </w:r>
      <w:r>
        <w:t xml:space="preserve"> </w:t>
      </w:r>
      <w:r>
        <w:t xml:space="preserve">-</w:t>
      </w:r>
      <w:r>
        <w:t xml:space="preserve"> </w:t>
      </w:r>
      <w:r>
        <w:rPr>
          <w:bCs/>
          <w:b/>
        </w:rPr>
        <w:t xml:space="preserve">(iv) Chuyển đổi TB–thấp —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crosswalk &amp; bản khóa:</w:t>
      </w:r>
      <w:r>
        <w:t xml:space="preserve"> </w:t>
      </w:r>
      <w:r>
        <w:t xml:space="preserve">Nhãn nhóm và thành viên trong §2.1.3 và Bảng 2.3.2.1 đã</w:t>
      </w:r>
      <w:r>
        <w:t xml:space="preserve"> </w:t>
      </w:r>
      <w:r>
        <w:rPr>
          <w:bCs/>
          <w:b/>
        </w:rPr>
        <w:t xml:space="preserve">căn theo nhãn dữ liệu</w:t>
      </w:r>
      <w:r>
        <w:rPr>
          <w:bCs/>
          <w:b/>
        </w:rPr>
        <w:t xml:space="preserve"> </w:t>
      </w:r>
      <w:r>
        <w:rPr>
          <w:rStyle w:val="VerbatimChar"/>
          <w:bCs/>
          <w:b/>
        </w:rPr>
        <w:t xml:space="preserve">icrv_label</w:t>
      </w:r>
      <w:r>
        <w:rPr>
          <w:bCs/>
          <w:b/>
        </w:rPr>
        <w:t xml:space="preserve"> </w:t>
      </w:r>
      <w:r>
        <w:rPr>
          <w:bCs/>
          <w:b/>
        </w:rPr>
        <w:t xml:space="preserve">P7</w:t>
      </w:r>
      <w:r>
        <w:t xml:space="preserve"> </w:t>
      </w:r>
      <w:r>
        <w:t xml:space="preserve">(đồng bộ Chuyên đề 2): Nhóm IV =</w:t>
      </w:r>
      <w:r>
        <w:t xml:space="preserve"> </w:t>
      </w:r>
      <w:r>
        <w:rPr>
          <w:rStyle w:val="VerbatimChar"/>
        </w:rPr>
        <w:t xml:space="preserve">Lower_mid_transition</w:t>
      </w:r>
      <w:r>
        <w:t xml:space="preserve">, Nhóm V =</w:t>
      </w:r>
      <w:r>
        <w:t xml:space="preserve"> </w:t>
      </w:r>
      <w:r>
        <w:rPr>
          <w:rStyle w:val="VerbatimChar"/>
        </w:rPr>
        <w:t xml:space="preserve">Emerging</w:t>
      </w:r>
      <w:r>
        <w:t xml:space="preserve">; hoán nhóm so với bản CĐ trước — Sri Lanka, Jordan → Nhóm V; Bangladesh, Pakistan → Nhóm IV; Timor-Leste → Nhóm VI.</w:t>
      </w:r>
      <w:r>
        <w:t xml:space="preserve"> </w:t>
      </w:r>
      <w:r>
        <w:rPr>
          <w:bCs/>
          <w:b/>
        </w:rPr>
        <w:t xml:space="preserve">Các bảng Bảng 2.3.3.2, 2.3.4.1, 2.3.5.1 đã được đồng bộ</w:t>
      </w:r>
      <w:r>
        <w:t xml:space="preserve"> </w:t>
      </w:r>
      <w:r>
        <w:t xml:space="preserve">sang khung 49 nền/6 nhóm nhãn dữ liệu bằng pipeline raw (</w:t>
      </w:r>
      <w:r>
        <w:rPr>
          <w:rStyle w:val="VerbatimChar"/>
        </w:rPr>
        <w:t xml:space="preserve">scripts/cd1_descriptives_pipeline.py</w:t>
      </w:r>
      <w:r>
        <w:t xml:space="preserve">; kết quả:</w:t>
      </w:r>
      <w:r>
        <w:t xml:space="preserve"> </w:t>
      </w:r>
      <w:r>
        <w:rPr>
          <w:rStyle w:val="VerbatimChar"/>
        </w:rPr>
        <w:t xml:space="preserve">data_wbes/analysis/CD1_PIPELINE_RESULTS.md</w:t>
      </w:r>
      <w:r>
        <w:t xml:space="preserve">) với coverage</w:t>
      </w:r>
      <w:r>
        <w:t xml:space="preserve"> </w:t>
      </w:r>
      <w:r>
        <w:rPr>
          <w:bCs/>
          <w:b/>
        </w:rPr>
        <w:t xml:space="preserve">đủ 49/49 nền</w:t>
      </w:r>
      <w:r>
        <w:t xml:space="preserve"> </w:t>
      </w:r>
      <w:r>
        <w:t xml:space="preserve">sau khi nạp raw bổ sung (chỉ đợt ≥2006): Nhóm I 5/5,</w:t>
      </w:r>
      <w:r>
        <w:t xml:space="preserve"> </w:t>
      </w:r>
      <w:r>
        <w:rPr>
          <w:bCs/>
          <w:b/>
        </w:rPr>
        <w:t xml:space="preserve">II 6/6 đủ GCC</w:t>
      </w:r>
      <w:r>
        <w:t xml:space="preserve">, III 6/6, IV 7/7,</w:t>
      </w:r>
      <w:r>
        <w:t xml:space="preserve"> </w:t>
      </w:r>
      <w:r>
        <w:rPr>
          <w:bCs/>
          <w:b/>
        </w:rPr>
        <w:t xml:space="preserve">V 17/17</w:t>
      </w:r>
      <w:r>
        <w:t xml:space="preserve"> </w:t>
      </w:r>
      <w:r>
        <w:t xml:space="preserve">(gồm Lebanon, Yemen),</w:t>
      </w:r>
      <w:r>
        <w:t xml:space="preserve"> </w:t>
      </w:r>
      <w:r>
        <w:rPr>
          <w:bCs/>
          <w:b/>
        </w:rPr>
        <w:t xml:space="preserve">VI 8/8</w:t>
      </w:r>
      <w:r>
        <w:t xml:space="preserve"> </w:t>
      </w:r>
      <w:r>
        <w:t xml:space="preserve">(7 Pacific + Timor-Leste).</w:t>
      </w:r>
      <w:r>
        <w:t xml:space="preserve"> </w:t>
      </w:r>
      <w:r>
        <w:rPr>
          <w:bCs/>
          <w:b/>
        </w:rPr>
        <w:t xml:space="preserve">Các bảng còn lại</w:t>
      </w:r>
      <w:r>
        <w:t xml:space="preserve"> </w:t>
      </w:r>
      <w:r>
        <w:t xml:space="preserve">(2.3.6.x temporal/tham nhũng chi tiết, 2.3.7.1 tiểu cảnh, 2.3.8.x tương quan) vẫn theo bản khóa mô tả (101.185);</w:t>
      </w:r>
      <w:r>
        <w:t xml:space="preserve"> </w:t>
      </w:r>
      <w:r>
        <w:rPr>
          <w:bCs/>
          <w:b/>
        </w:rPr>
        <w:t xml:space="preserve">Bảng 2.3.3.1 phân tán năng suất đã được hiệu chỉnh artifact tiền tệ</w:t>
      </w:r>
      <w:r>
        <w:t xml:space="preserve"> </w:t>
      </w:r>
      <w:r>
        <w:t xml:space="preserve">(panel LP-z + ROS).</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n=14.171), Standardized (2013–2017, n=24.564), BREADY/BEE/EAP Core (2018–2025, n=62.450).</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49 nền kinh tế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 (Phạm vi mô tả ở §2.3.4 dựa trên pool mô tả CĐ1 101.185 DN / 47 nền.)</w:t>
      </w:r>
    </w:p>
    <w:p>
      <w:pPr>
        <w:numPr>
          <w:ilvl w:val="0"/>
          <w:numId w:val="1006"/>
        </w:numPr>
      </w:pP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Khung phân loại/phân tích neo theo bản khóa canonical:</w:t>
      </w:r>
      <w:r>
        <w:t xml:space="preserve"> </w:t>
      </w:r>
      <w:r>
        <w:rPr>
          <w:bCs/>
          <w:b/>
        </w:rPr>
        <w:t xml:space="preserve">49 nền kinh tế</w:t>
      </w:r>
      <w:r>
        <w:t xml:space="preserve"> </w:t>
      </w:r>
      <w:r>
        <w:t xml:space="preserve">(khung phân tích 91.982 doanh nghiệp; pool phân loại 96.415 DN / 52 nền). Các bảng thống kê mô tả §2.3.3–2.3.8 dưới đây được tính trên</w:t>
      </w:r>
      <w:r>
        <w:t xml:space="preserve"> </w:t>
      </w:r>
      <w:r>
        <w:rPr>
          <w:bCs/>
          <w:b/>
        </w:rPr>
        <w:t xml:space="preserve">pool mô tả CĐ1 gồm 101.185 doanh nghiệp, 47 nền, 108 cặp quốc gia × năm, 14 sóng khảo sát, 2009–2025</w:t>
      </w:r>
      <w:r>
        <w:t xml:space="preserve"> </w:t>
      </w:r>
      <w:r>
        <w:t xml:space="preserve">(bản khóa mô tả riêng — xem ghi chú dữ liệu ở Tóm tắt).</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8"/>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(khung canonical 49 nền kinh tế châu Á và Thái Bình Dương; pool mô tả CĐ1 cho thống kê §2.3.3–2.3.8 gồm 47 nền, phân tách 40 và 7); (ii) quy trình lấy mẫu (lấy mẫu chính thức WBES); (iii) lý giải quy mô mẫu (khung phân tích 91.982 DN; pool phân loại 96.415 DN; pool mô tả CĐ1 101.185);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 vốn không cung cấp giá cổ phiếu nên loại trừ nhóm (ii), và có dữ liệu lợi nhuận thưa thớt làm hạn chế nhóm (i) —</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49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mô tả CĐ1 (101.185 doanh nghiệp WBES; khung phân tích canonical 91.982 DN / 49 nền)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 nhất quán với diễn giải tại luận án Chương 4 §4.3.1).</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49 nền kinh tế châu Á (khung phân tích). Khung phân loại ICRV (Institutional Context Regime Variation — Biến thiên chế độ bối cảnh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tc>
      </w:tr>
      <w:tr>
        <w:tc>
          <w:tcPr/>
          <w:p>
            <w:pPr>
              <w:pStyle w:val="Compact"/>
              <w:jc w:val="lef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tc>
      </w:tr>
      <w:tr>
        <w:tc>
          <w:tcPr/>
          <w:p>
            <w:pPr>
              <w:pStyle w:val="Compact"/>
              <w:jc w:val="left"/>
            </w:pPr>
            <w:r>
              <w:t xml:space="preserve">#### 2.3.2.3 Danh sách 49 nền kinh tế theo nhóm ICRV (căn theo nhãn dữ liệu)</w:t>
            </w:r>
          </w:p>
        </w:tc>
      </w:tr>
      <w:tr>
        <w:tc>
          <w:tcPr/>
          <w:p>
            <w:pPr>
              <w:pStyle w:val="Compact"/>
              <w:jc w:val="left"/>
            </w:pPr>
            <w:r>
              <w:rPr>
                <w:bCs/>
                <w:b/>
              </w:rPr>
              <w:t xml:space="preserve">Bảng 2.3.2.1</w:t>
            </w:r>
            <w:r>
              <w:t xml:space="preserve">.</w:t>
            </w:r>
            <w:r>
              <w:t xml:space="preserve"> </w:t>
            </w:r>
            <w:r>
              <w:rPr>
                <w:iCs/>
                <w:i/>
              </w:rPr>
              <w:t xml:space="preserve">Phân loại 49 nền kinh tế vào 6 nhóm ICRV theo nhãn dữ liệu</w:t>
            </w:r>
            <w:r>
              <w:rPr>
                <w:iCs/>
                <w:i/>
              </w:rPr>
              <w:t xml:space="preserve"> </w:t>
            </w:r>
            <w:r>
              <w:rPr>
                <w:rStyle w:val="VerbatimChar"/>
                <w:iCs/>
                <w:i/>
              </w:rPr>
              <w:t xml:space="preserve">icrv_label</w:t>
            </w:r>
            <w:r>
              <w:rPr>
                <w:iCs/>
                <w:i/>
              </w:rPr>
              <w:t xml:space="preserve"> </w:t>
            </w:r>
            <w:r>
              <w:rPr>
                <w:iCs/>
                <w:i/>
              </w:rPr>
              <w:t xml:space="preserve">(P7) — đồng bộ với Chuyên đề 2 (Bảng 2.8).</w:t>
            </w:r>
          </w:p>
        </w:tc>
      </w:tr>
      <w:tr>
        <w:tc>
          <w:tcPr/>
          <w:p>
            <w:pPr>
              <w:pStyle w:val="Compact"/>
              <w:jc w:val="left"/>
            </w:pPr>
            <w:r>
              <w:t xml:space="preserve">| Nhóm ICRV (icrv_label) | Tên nhóm | Quốc gia | N doanh nghiệp |</w:t>
            </w:r>
            <w:r>
              <w:t xml:space="preserve"> </w:t>
            </w:r>
            <w:r>
              <w:t xml:space="preserve">|—|—|—|:–:|</w:t>
            </w:r>
            <w:r>
              <w:t xml:space="preserve"> </w:t>
            </w:r>
            <w:r>
              <w:t xml:space="preserve">|</w:t>
            </w:r>
            <w:r>
              <w:t xml:space="preserve"> </w:t>
            </w:r>
            <w:r>
              <w:rPr>
                <w:bCs/>
                <w:b/>
              </w:rPr>
              <w:t xml:space="preserve">I</w:t>
            </w:r>
            <w:r>
              <w:t xml:space="preserve"> </w:t>
            </w:r>
            <w:r>
              <w:t xml:space="preserve">—</w:t>
            </w:r>
            <w:r>
              <w:t xml:space="preserve"> </w:t>
            </w:r>
            <w:r>
              <w:rPr>
                <w:rStyle w:val="VerbatimChar"/>
              </w:rPr>
              <w:t xml:space="preserve">Advanced_innovation</w:t>
            </w:r>
            <w:r>
              <w:t xml:space="preserve"> </w:t>
            </w:r>
            <w:r>
              <w:t xml:space="preserve">| Advanced — đổi mới sáng tạo | Singapore, Hong Kong SAR, Hàn Quốc, Đài Loan, Israel | 4.222 |</w:t>
            </w:r>
            <w:r>
              <w:t xml:space="preserve"> </w:t>
            </w:r>
            <w:r>
              <w:t xml:space="preserve">|</w:t>
            </w:r>
            <w:r>
              <w:t xml:space="preserve"> </w:t>
            </w:r>
            <w:r>
              <w:rPr>
                <w:bCs/>
                <w:b/>
              </w:rPr>
              <w:t xml:space="preserve">II</w:t>
            </w:r>
            <w:r>
              <w:t xml:space="preserve"> </w:t>
            </w:r>
            <w:r>
              <w:t xml:space="preserve">—</w:t>
            </w:r>
            <w:r>
              <w:t xml:space="preserve"> </w:t>
            </w:r>
            <w:r>
              <w:rPr>
                <w:rStyle w:val="VerbatimChar"/>
              </w:rPr>
              <w:t xml:space="preserve">Advanced_resource</w:t>
            </w:r>
            <w:r>
              <w:t xml:space="preserve"> </w:t>
            </w:r>
            <w:r>
              <w:t xml:space="preserve">| Advanced — tài nguyên | Saudi Arabia, Qatar, Kuwait, Bahrain, Brunei, Oman | 2.269 |</w:t>
            </w:r>
            <w:r>
              <w:t xml:space="preserve"> </w:t>
            </w:r>
            <w:r>
              <w:t xml:space="preserve">|</w:t>
            </w:r>
            <w:r>
              <w:t xml:space="preserve"> </w:t>
            </w:r>
            <w:r>
              <w:rPr>
                <w:bCs/>
                <w:b/>
              </w:rPr>
              <w:t xml:space="preserve">III</w:t>
            </w:r>
            <w:r>
              <w:t xml:space="preserve"> </w:t>
            </w:r>
            <w:r>
              <w:t xml:space="preserve">—</w:t>
            </w:r>
            <w:r>
              <w:t xml:space="preserve"> </w:t>
            </w:r>
            <w:r>
              <w:rPr>
                <w:rStyle w:val="VerbatimChar"/>
              </w:rPr>
              <w:t xml:space="preserve">Upper_mid</w:t>
            </w:r>
            <w:r>
              <w:t xml:space="preserve"> </w:t>
            </w:r>
            <w:r>
              <w:t xml:space="preserve">| Trung bình cao | Trung Quốc, Malaysia, Thái Lan, Kazakhstan, Armenia, Georgia | 13.993 |</w:t>
            </w:r>
            <w:r>
              <w:t xml:space="preserve"> </w:t>
            </w:r>
            <w:r>
              <w:t xml:space="preserve">|</w:t>
            </w:r>
            <w:r>
              <w:t xml:space="preserve"> </w:t>
            </w:r>
            <w:r>
              <w:rPr>
                <w:bCs/>
                <w:b/>
              </w:rPr>
              <w:t xml:space="preserve">IV</w:t>
            </w:r>
            <w:r>
              <w:t xml:space="preserve"> </w:t>
            </w:r>
            <w:r>
              <w:t xml:space="preserve">—</w:t>
            </w:r>
            <w:r>
              <w:t xml:space="preserve"> </w:t>
            </w:r>
            <w:r>
              <w:rPr>
                <w:rStyle w:val="VerbatimChar"/>
              </w:rPr>
              <w:t xml:space="preserve">Lower_mid_transition</w:t>
            </w:r>
            <w:r>
              <w:t xml:space="preserve"> </w:t>
            </w:r>
            <w:r>
              <w:t xml:space="preserve">| Chuyển đổi thu nhập trung bình–thấp | Việt Nam, Ấn Độ, Indonesia, Philippines, Mông Cổ, Bangladesh, Pakistan | 50.926 |</w:t>
            </w:r>
            <w:r>
              <w:t xml:space="preserve"> </w:t>
            </w:r>
            <w:r>
              <w:t xml:space="preserve">|</w:t>
            </w:r>
            <w:r>
              <w:t xml:space="preserve"> </w:t>
            </w:r>
            <w:r>
              <w:rPr>
                <w:bCs/>
                <w:b/>
              </w:rPr>
              <w:t xml:space="preserve">V</w:t>
            </w:r>
            <w:r>
              <w:t xml:space="preserve"> </w:t>
            </w:r>
            <w:r>
              <w:t xml:space="preserve">—</w:t>
            </w:r>
            <w:r>
              <w:t xml:space="preserve"> </w:t>
            </w:r>
            <w:r>
              <w:rPr>
                <w:rStyle w:val="VerbatimChar"/>
              </w:rPr>
              <w:t xml:space="preserve">Emerging</w:t>
            </w:r>
            <w:r>
              <w:t xml:space="preserve"> </w:t>
            </w:r>
            <w:r>
              <w:t xml:space="preserve">| Đang nổi | Sri Lanka, Jordan, Lào, Campuchia, Myanmar, Nepal, Bhutan, Maldives, Uzbekistan, Tajikistan, Kyrgyzstan, Turkmenistan, Afghanistan, Azerbaijan, Iraq, Lebanon, Yemen (17 nước) | 18.569 |</w:t>
            </w:r>
            <w:r>
              <w:t xml:space="preserve"> </w:t>
            </w:r>
            <w:r>
              <w:t xml:space="preserve">|</w:t>
            </w:r>
            <w:r>
              <w:t xml:space="preserve"> </w:t>
            </w:r>
            <w:r>
              <w:rPr>
                <w:bCs/>
                <w:b/>
              </w:rPr>
              <w:t xml:space="preserve">VI</w:t>
            </w:r>
            <w:r>
              <w:t xml:space="preserve"> </w:t>
            </w:r>
            <w:r>
              <w:t xml:space="preserve">—</w:t>
            </w:r>
            <w:r>
              <w:t xml:space="preserve"> </w:t>
            </w:r>
            <w:r>
              <w:rPr>
                <w:rStyle w:val="VerbatimChar"/>
              </w:rPr>
              <w:t xml:space="preserve">SIDS_small</w:t>
            </w:r>
            <w:r>
              <w:t xml:space="preserve"> </w:t>
            </w:r>
            <w:r>
              <w:t xml:space="preserve">| SIDS (trường hợp biên) | Fiji, Kiribati, Papua New Guinea, Samoa, Solomon Islands, Tonga, Vanuatu, Timor-Leste | 1.885 |</w:t>
            </w:r>
            <w:r>
              <w:t xml:space="preserve"> </w:t>
            </w:r>
            <w:r>
              <w:t xml:space="preserve">|</w:t>
            </w:r>
            <w:r>
              <w:t xml:space="preserve"> </w:t>
            </w:r>
            <w:r>
              <w:rPr>
                <w:bCs/>
                <w:b/>
              </w:rPr>
              <w:t xml:space="preserve">Tổng</w:t>
            </w:r>
            <w:r>
              <w:t xml:space="preserve"> </w:t>
            </w:r>
            <w:r>
              <w:t xml:space="preserve">| |</w:t>
            </w:r>
            <w:r>
              <w:t xml:space="preserve"> </w:t>
            </w:r>
            <w:r>
              <w:rPr>
                <w:bCs/>
                <w:b/>
              </w:rPr>
              <w:t xml:space="preserve">49 nền kinh tế</w:t>
            </w:r>
            <w:r>
              <w:t xml:space="preserve"> </w:t>
            </w:r>
            <w:r>
              <w:t xml:space="preserve">|</w:t>
            </w:r>
            <w:r>
              <w:t xml:space="preserve"> </w:t>
            </w:r>
            <w:r>
              <w:rPr>
                <w:bCs/>
                <w:b/>
              </w:rPr>
              <w:t xml:space="preserve">91.864</w:t>
            </w:r>
            <w:r>
              <w:t xml:space="preserve"> </w:t>
            </w:r>
            <w:r>
              <w:t xml:space="preserve">(≈91.982 mẫu phân tích) |</w:t>
            </w:r>
          </w:p>
        </w:tc>
      </w:tr>
      <w:tr>
        <w:tc>
          <w:tcPr/>
          <w:p>
            <w:pPr>
              <w:pStyle w:val="Compact"/>
              <w:jc w:val="left"/>
            </w:pPr>
            <w:r>
              <w:rPr>
                <w:iCs/>
                <w:i/>
              </w:rPr>
              <w:t xml:space="preserve">Ghi chú: Bảng phân loại theo nhãn dữ liệu</w:t>
            </w:r>
            <w:r>
              <w:rPr>
                <w:iCs/>
                <w:i/>
              </w:rPr>
              <w:t xml:space="preserve"> </w:t>
            </w:r>
            <w:r>
              <w:rPr>
                <w:rStyle w:val="VerbatimChar"/>
                <w:iCs/>
                <w:i/>
              </w:rPr>
              <w:t xml:space="preserve">icrv_label</w:t>
            </w:r>
            <w:r>
              <w:rPr>
                <w:iCs/>
                <w:i/>
              </w:rPr>
              <w:t xml:space="preserve"> </w:t>
            </w:r>
            <w:r>
              <w:rPr>
                <w:iCs/>
                <w:i/>
              </w:rPr>
              <w:t xml:space="preserve">P7,</w:t>
            </w:r>
            <w:r>
              <w:rPr>
                <w:iCs/>
                <w:i/>
              </w:rPr>
              <w:t xml:space="preserve"> </w:t>
            </w:r>
            <w:r>
              <w:rPr>
                <w:bCs/>
                <w:b/>
                <w:iCs/>
                <w:i/>
              </w:rPr>
              <w:t xml:space="preserve">đồng bộ Chuyên đề 2 (Bảng 2.8)</w:t>
            </w:r>
            <w:r>
              <w:rPr>
                <w:iCs/>
                <w:i/>
              </w:rPr>
              <w:t xml:space="preserve">. Tên đã căn theo nhãn dữ liệu: Nhóm IV</w:t>
            </w:r>
            <w:r>
              <w:rPr>
                <w:iCs/>
                <w:i/>
              </w:rPr>
              <w:t xml:space="preserve"> </w:t>
            </w:r>
            <w:r>
              <w:rPr>
                <w:rStyle w:val="VerbatimChar"/>
                <w:iCs/>
                <w:i/>
              </w:rPr>
              <w:t xml:space="preserve">Lower_mid_transition</w:t>
            </w:r>
            <w:r>
              <w:rPr>
                <w:iCs/>
                <w:i/>
              </w:rPr>
              <w:t xml:space="preserve"> </w:t>
            </w:r>
            <w:r>
              <w:rPr>
                <w:iCs/>
                <w:i/>
              </w:rPr>
              <w:t xml:space="preserve">(7 nền đông dân) — bản CĐ trước gọi</w:t>
            </w:r>
            <w:r>
              <w:rPr>
                <w:iCs/>
                <w:i/>
              </w:rPr>
              <w:t xml:space="preserve"> </w:t>
            </w:r>
            <w:r>
              <w:rPr>
                <w:iCs/>
                <w:i/>
              </w:rPr>
              <w:t xml:space="preserve">“</w:t>
            </w:r>
            <w:r>
              <w:rPr>
                <w:iCs/>
                <w:i/>
              </w:rPr>
              <w:t xml:space="preserve">Đang nổi</w:t>
            </w:r>
            <w:r>
              <w:rPr>
                <w:iCs/>
                <w:i/>
              </w:rPr>
              <w:t xml:space="preserve">”</w:t>
            </w:r>
            <w:r>
              <w:rPr>
                <w:iCs/>
                <w:i/>
              </w:rPr>
              <w:t xml:space="preserve">; Nhóm V</w:t>
            </w:r>
            <w:r>
              <w:rPr>
                <w:iCs/>
                <w:i/>
              </w:rPr>
              <w:t xml:space="preserve"> </w:t>
            </w:r>
            <w:r>
              <w:rPr>
                <w:rStyle w:val="VerbatimChar"/>
                <w:iCs/>
                <w:i/>
              </w:rPr>
              <w:t xml:space="preserve">Emerging</w:t>
            </w:r>
            <w:r>
              <w:rPr>
                <w:iCs/>
                <w:i/>
              </w:rPr>
              <w:t xml:space="preserve"> </w:t>
            </w:r>
            <w:r>
              <w:rPr>
                <w:iCs/>
                <w:i/>
              </w:rPr>
              <w:t xml:space="preserve">(17 nền) — bản CĐ trước gọi</w:t>
            </w:r>
            <w:r>
              <w:rPr>
                <w:iCs/>
                <w:i/>
              </w:rPr>
              <w:t xml:space="preserve"> </w:t>
            </w:r>
            <w:r>
              <w:rPr>
                <w:iCs/>
                <w:i/>
              </w:rPr>
              <w:t xml:space="preserve">“</w:t>
            </w:r>
            <w:r>
              <w:rPr>
                <w:iCs/>
                <w:i/>
              </w:rPr>
              <w:t xml:space="preserve">Cận biên/Frontier</w:t>
            </w:r>
            <w:r>
              <w:rPr>
                <w:iCs/>
                <w:i/>
              </w:rPr>
              <w:t xml:space="preserve">”</w:t>
            </w:r>
            <w:r>
              <w:rPr>
                <w:iCs/>
                <w:i/>
              </w:rPr>
              <w:t xml:space="preserve"> </w:t>
            </w:r>
            <w:r>
              <w:rPr>
                <w:iCs/>
                <w:i/>
              </w:rPr>
              <w:t xml:space="preserve">(đã hoán đổi: Sri Lanka, Jordan → Nhóm V; Bangladesh, Pakistan → Nhóm IV). Pool phân loại đầy đủ = 96.415 DN/52 nền (gồm Comoros, Turkey, Cyprus ngoài châu Á — loại khỏi khung 49). SIDS: P8 mẫu chính 7 nền Pacific (pool 1.371); robustness 9 nền.</w:t>
            </w:r>
            <w:r>
              <w:rPr>
                <w:iCs/>
                <w:i/>
              </w:rPr>
              <w:t xml:space="preserve"> </w:t>
            </w:r>
            <w:r>
              <w:rPr>
                <w:bCs/>
                <w:b/>
                <w:iCs/>
                <w:i/>
              </w:rPr>
              <w:t xml:space="preserve">Lưu ý:</w:t>
            </w:r>
            <w:r>
              <w:rPr>
                <w:iCs/>
                <w:i/>
              </w:rPr>
              <w:t xml:space="preserve"> </w:t>
            </w:r>
            <w:r>
              <w:rPr>
                <w:iCs/>
                <w:i/>
              </w:rPr>
              <w:t xml:space="preserve">các bảng R&amp;D/ISO/đổi mới (2.3.4.1), cấu trúc (2.3.5.1) và FSTS/xuất khẩu (2.3.3.2)</w:t>
            </w:r>
            <w:r>
              <w:rPr>
                <w:iCs/>
                <w:i/>
              </w:rPr>
              <w:t xml:space="preserve"> </w:t>
            </w:r>
            <w:r>
              <w:rPr>
                <w:bCs/>
                <w:b/>
                <w:iCs/>
                <w:i/>
              </w:rPr>
              <w:t xml:space="preserve">đã đồng bộ</w:t>
            </w:r>
            <w:r>
              <w:rPr>
                <w:iCs/>
                <w:i/>
              </w:rPr>
              <w:t xml:space="preserve"> </w:t>
            </w:r>
            <w:r>
              <w:rPr>
                <w:iCs/>
                <w:i/>
              </w:rPr>
              <w:t xml:space="preserve">sang khung 49 nền bằng pipeline raw (</w:t>
            </w:r>
            <w:r>
              <w:rPr>
                <w:rStyle w:val="VerbatimChar"/>
                <w:iCs/>
                <w:i/>
              </w:rPr>
              <w:t xml:space="preserve">scripts/cd1_descriptives_pipeline.py</w:t>
            </w:r>
            <w:r>
              <w:rPr>
                <w:iCs/>
                <w:i/>
              </w:rPr>
              <w:t xml:space="preserve">; kết quả:</w:t>
            </w:r>
            <w:r>
              <w:rPr>
                <w:iCs/>
                <w:i/>
              </w:rPr>
              <w:t xml:space="preserve"> </w:t>
            </w:r>
            <w:r>
              <w:rPr>
                <w:rStyle w:val="VerbatimChar"/>
                <w:iCs/>
                <w:i/>
              </w:rPr>
              <w:t xml:space="preserve">data_wbes/analysis/CD1_PIPELINE_RESULTS.md</w:t>
            </w:r>
            <w:r>
              <w:rPr>
                <w:iCs/>
                <w:i/>
              </w:rPr>
              <w:t xml:space="preserve">); coverage đã</w:t>
            </w:r>
            <w:r>
              <w:rPr>
                <w:iCs/>
                <w:i/>
              </w:rPr>
              <w:t xml:space="preserve"> </w:t>
            </w:r>
            <w:r>
              <w:rPr>
                <w:bCs/>
                <w:b/>
                <w:iCs/>
                <w:i/>
              </w:rPr>
              <w:t xml:space="preserve">đủ 49/49 nền</w:t>
            </w:r>
            <w:r>
              <w:rPr>
                <w:iCs/>
                <w:i/>
              </w:rPr>
              <w:t xml:space="preserve"> </w:t>
            </w:r>
            <w:r>
              <w:rPr>
                <w:iCs/>
                <w:i/>
              </w:rPr>
              <w:t xml:space="preserve">(II 6/6, V 17/17, VI 8/8). Bảng tương quan (2.3.8.x) vẫn theo bản khóa mô tả (101.185); Bảng 2.3.3.1 phân tán đã hiệu chỉnh artifact tiền tệ (LP-z + ROS).</w:t>
            </w:r>
            <w:r>
              <w:rPr>
                <w:iCs/>
                <w:i/>
              </w:rPr>
              <w:t xml:space="preserve"> </w:t>
            </w:r>
            <w:r>
              <w:rPr>
                <w:bCs/>
                <w:b/>
                <w:iCs/>
                <w:i/>
              </w:rPr>
              <w:t xml:space="preserve">Cập nhật dữ liệu 2026:</w:t>
            </w:r>
            <w:r>
              <w:rPr>
                <w:iCs/>
                <w:i/>
              </w:rPr>
              <w:t xml:space="preserve"> </w:t>
            </w:r>
            <w:r>
              <w:rPr>
                <w:iCs/>
                <w:i/>
              </w:rPr>
              <w:t xml:space="preserve">bộ raw bổ sung</w:t>
            </w:r>
            <w:r>
              <w:rPr>
                <w:iCs/>
                <w:i/>
              </w:rPr>
              <w:t xml:space="preserve"> </w:t>
            </w:r>
            <w:r>
              <w:rPr>
                <w:bCs/>
                <w:b/>
                <w:iCs/>
                <w:i/>
              </w:rPr>
              <w:t xml:space="preserve">Japan-2025</w:t>
            </w:r>
            <w:r>
              <w:rPr>
                <w:iCs/>
                <w:i/>
              </w:rPr>
              <w:t xml:space="preserve"> </w:t>
            </w:r>
            <w:r>
              <w:rPr>
                <w:iCs/>
                <w:i/>
              </w:rPr>
              <w:t xml:space="preserve">(khảo sát lần đầu, Nhóm I — nâng khung phân loại lên 50 nền/94.032 DN) và sóng mới 2024–2026 của 31 nền; các quan sát này lưu trữ phục vụ vòng ước lượng lại P3–P9,</w:t>
            </w:r>
            <w:r>
              <w:rPr>
                <w:iCs/>
                <w:i/>
              </w:rPr>
              <w:t xml:space="preserve"> </w:t>
            </w:r>
            <w:r>
              <w:rPr>
                <w:bCs/>
                <w:b/>
                <w:iCs/>
                <w:i/>
              </w:rPr>
              <w:t xml:space="preserve">không</w:t>
            </w:r>
            <w:r>
              <w:rPr>
                <w:iCs/>
                <w:i/>
              </w:rPr>
              <w:t xml:space="preserve"> </w:t>
            </w:r>
            <w:r>
              <w:rPr>
                <w:iCs/>
                <w:i/>
              </w:rPr>
              <w:t xml:space="preserve">đổi số phân tích 49 nền đã khóa trong chuyên đề (xem</w:t>
            </w:r>
            <w:r>
              <w:rPr>
                <w:iCs/>
                <w:i/>
              </w:rPr>
              <w:t xml:space="preserve"> </w:t>
            </w:r>
            <w:r>
              <w:rPr>
                <w:rStyle w:val="VerbatimChar"/>
                <w:iCs/>
                <w:i/>
              </w:rPr>
              <w:t xml:space="preserve">data_wbes/analysis/DATA_UPDATE_MANIFEST.md</w:t>
            </w:r>
            <w:r>
              <w:rPr>
                <w:iCs/>
                <w:i/>
              </w:rPr>
              <w:t xml:space="preserve">).</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 Innovation | &gt;+0,80 | &gt;$30k | R&amp;D + dịch vụ tri thức | Trung bình (6–15%) | ~1,03 | U ngược nhẹ / tuyến tính dương; điểm uốn ~88,6% (SG) |</w:t>
            </w:r>
            <w:r>
              <w:t xml:space="preserve"> </w:t>
            </w:r>
            <w:r>
              <w:t xml:space="preserve">| II — Resource | +0,00→+0,50 | &gt;$20k | Xuất khẩu dầu/khí | Thấp (1–3%) | ~0,49 | Phi tuyến suy yếu; nhà nước tô phân phối lại |</w:t>
            </w:r>
            <w:r>
              <w:t xml:space="preserve"> </w:t>
            </w:r>
            <w:r>
              <w:t xml:space="preserve">| III — Upper-mid | 0,00→+0,80 | $5k–$20k | Sản xuất + chuyển đổi | Trung bình (8–12%) | ~1,29 | U ngược; điểm uốn ~47% |</w:t>
            </w:r>
            <w:r>
              <w:t xml:space="preserve"> </w:t>
            </w:r>
            <w:r>
              <w:t xml:space="preserve">| IV — Emerging | -0,50→0,00 | $1k–$5k | FDI-driven sản xuất | Biến động (7–23%) | ~1,24 | U ngược; điểm uốn 39–46% (VNM) — bẫy chuyển hướng nguồn lực |</w:t>
            </w:r>
            <w:r>
              <w:t xml:space="preserve"> </w:t>
            </w:r>
            <w:r>
              <w:t xml:space="preserve">| V — Frontier | &lt;-0,50 | &lt;$1k–$3k | Tự cấp + phi chính thức | Thấp–trung bình | ~1,36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BlockText"/>
      </w:pPr>
      <w:r>
        <w:rPr>
          <w:iCs/>
          <w:i/>
        </w:rPr>
        <w:t xml:space="preserve">Ghi chú khung số liệu (§2.3.3–2.3.8): Các bảng thống kê mô tả trong các tiểu mục này theo</w:t>
      </w:r>
      <w:r>
        <w:rPr>
          <w:iCs/>
          <w:i/>
        </w:rPr>
        <w:t xml:space="preserve"> </w:t>
      </w:r>
      <w:r>
        <w:rPr>
          <w:bCs/>
          <w:b/>
          <w:iCs/>
          <w:i/>
        </w:rPr>
        <w:t xml:space="preserve">bản khóa mô tả CĐ1</w:t>
      </w:r>
      <w:r>
        <w:rPr>
          <w:iCs/>
          <w:i/>
        </w:rPr>
        <w:t xml:space="preserve"> </w:t>
      </w:r>
      <w:r>
        <w:rPr>
          <w:iCs/>
          <w:i/>
        </w:rPr>
        <w:t xml:space="preserve">(pool 101.185 doanh nghiệp / 47 nền / 108 cặp); chúng sẽ đồng bộ về</w:t>
      </w:r>
      <w:r>
        <w:rPr>
          <w:iCs/>
          <w:i/>
        </w:rPr>
        <w:t xml:space="preserve"> </w:t>
      </w:r>
      <w:r>
        <w:rPr>
          <w:bCs/>
          <w:b/>
          <w:iCs/>
          <w:i/>
        </w:rPr>
        <w:t xml:space="preserve">khung canonical 49 nền / 91.982 doanh nghiệp</w:t>
      </w:r>
      <w:r>
        <w:rPr>
          <w:iCs/>
          <w:i/>
        </w:rPr>
        <w:t xml:space="preserve"> </w:t>
      </w:r>
      <w:r>
        <w:rPr>
          <w:iCs/>
          <w:i/>
        </w:rPr>
        <w:t xml:space="preserve">khi dựng lại pipeline raw đa biến (R&amp;D, đổi mới, tham nhũng, ngành chưa có trong master phân tích</w:t>
      </w:r>
      <w:r>
        <w:rPr>
          <w:iCs/>
          <w:i/>
        </w:rPr>
        <w:t xml:space="preserve"> </w:t>
      </w:r>
      <w:r>
        <w:rPr>
          <w:rStyle w:val="VerbatimChar"/>
          <w:iCs/>
          <w:i/>
        </w:rPr>
        <w:t xml:space="preserve">p7_pooled_clean.csv</w:t>
      </w:r>
      <w:r>
        <w:rPr>
          <w:iCs/>
          <w:i/>
        </w:rPr>
        <w:t xml:space="preserve">). Headline và khung phân loại của chuyên đề (Tóm tắt, §2.1, §2.2, Bảng 2.3.2.1) đã neo theo canonical.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rPr>
          <w:bCs/>
          <w:b/>
        </w:rPr>
        <w:t xml:space="preserve">Hiệu chỉnh artifact tiền tệ (quan trọng).</w:t>
      </w:r>
      <w:r>
        <w:t xml:space="preserve"> </w:t>
      </w:r>
      <w:r>
        <w:t xml:space="preserve">Cột</w:t>
      </w:r>
      <w:r>
        <w:t xml:space="preserve"> </w:t>
      </w:r>
      <w:r>
        <w:t xml:space="preserve">“</w:t>
      </w:r>
      <w:r>
        <w:t xml:space="preserve">sd log</w:t>
      </w:r>
      <w:r>
        <w:t xml:space="preserve">”</w:t>
      </w:r>
      <w:r>
        <w:t xml:space="preserve"> </w:t>
      </w:r>
      <w:r>
        <w:t xml:space="preserve">ở Bảng 2.3.3.1 đo độ lệch chuẩn của</w:t>
      </w:r>
      <w:r>
        <w:t xml:space="preserve"> </w:t>
      </w:r>
      <w:r>
        <w:rPr>
          <w:bCs/>
          <w:b/>
        </w:rPr>
        <w:t xml:space="preserve">log năng suất lao động thô</w:t>
      </w:r>
      <w:r>
        <w:t xml:space="preserve">, vốn được biểu thị bằng</w:t>
      </w:r>
      <w:r>
        <w:t xml:space="preserve"> </w:t>
      </w:r>
      <w:r>
        <w:rPr>
          <w:bCs/>
          <w:b/>
        </w:rPr>
        <w:t xml:space="preserve">nội tệ khác nhau</w:t>
      </w:r>
      <w:r>
        <w:t xml:space="preserve"> </w:t>
      </w:r>
      <w:r>
        <w:t xml:space="preserve">giữa các nước — do đó chênh lệch sd giữa nhóm phản ánh một phần khác biệt đơn vị tiền tệ/mặt bằng giá,</w:t>
      </w:r>
      <w:r>
        <w:t xml:space="preserve"> </w:t>
      </w:r>
      <w:r>
        <w:rPr>
          <w:bCs/>
          <w:b/>
        </w:rPr>
        <w:t xml:space="preserve">không phải</w:t>
      </w:r>
      <w:r>
        <w:t xml:space="preserve"> </w:t>
      </w:r>
      <w:r>
        <w:t xml:space="preserve">thuần túy phân tán hiệu quả. Khi chuẩn hóa năng suất theo</w:t>
      </w:r>
      <w:r>
        <w:t xml:space="preserve"> </w:t>
      </w:r>
      <w:r>
        <w:rPr>
          <w:bCs/>
          <w:b/>
        </w:rPr>
        <w:t xml:space="preserve">z-score within country-year</w:t>
      </w:r>
      <w:r>
        <w:t xml:space="preserve"> </w:t>
      </w:r>
      <w:r>
        <w:t xml:space="preserve">(loại artifact), độ phân tán nội nhóm gần như</w:t>
      </w:r>
      <w:r>
        <w:t xml:space="preserve"> </w:t>
      </w:r>
      <w:r>
        <w:rPr>
          <w:bCs/>
          <w:b/>
        </w:rPr>
        <w:t xml:space="preserve">đồng đều</w:t>
      </w:r>
      <w:r>
        <w:t xml:space="preserve"> </w:t>
      </w:r>
      <w:r>
        <w:t xml:space="preserve">giữa sáu nhóm ICRV — không có gradient:</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I</w:t>
            </w:r>
          </w:p>
        </w:tc>
        <w:tc>
          <w:tcPr/>
          <w:p>
            <w:pPr>
              <w:pStyle w:val="Compact"/>
              <w:jc w:val="right"/>
            </w:pPr>
            <w:r>
              <w:t xml:space="preserve">II</w:t>
            </w:r>
          </w:p>
        </w:tc>
        <w:tc>
          <w:tcPr/>
          <w:p>
            <w:pPr>
              <w:pStyle w:val="Compact"/>
              <w:jc w:val="right"/>
            </w:pPr>
            <w:r>
              <w:t xml:space="preserve">III</w:t>
            </w:r>
          </w:p>
        </w:tc>
        <w:tc>
          <w:tcPr/>
          <w:p>
            <w:pPr>
              <w:pStyle w:val="Compact"/>
              <w:jc w:val="right"/>
            </w:pPr>
            <w:r>
              <w:t xml:space="preserve">IV</w:t>
            </w:r>
          </w:p>
        </w:tc>
        <w:tc>
          <w:tcPr/>
          <w:p>
            <w:pPr>
              <w:pStyle w:val="Compact"/>
              <w:jc w:val="right"/>
            </w:pPr>
            <w:r>
              <w:t xml:space="preserve">V</w:t>
            </w:r>
          </w:p>
        </w:tc>
        <w:tc>
          <w:tcPr/>
          <w:p>
            <w:pPr>
              <w:pStyle w:val="Compact"/>
              <w:jc w:val="right"/>
            </w:pPr>
            <w:r>
              <w:t xml:space="preserve">VI</w:t>
            </w:r>
          </w:p>
        </w:tc>
      </w:tr>
      <w:tr>
        <w:tc>
          <w:tcPr/>
          <w:p>
            <w:pPr>
              <w:pStyle w:val="Compact"/>
              <w:jc w:val="left"/>
            </w:pPr>
            <w:r>
              <w:t xml:space="preserve">Phân tán LP-z (sd)</w:t>
            </w:r>
          </w:p>
        </w:tc>
        <w:tc>
          <w:tcPr/>
          <w:p>
            <w:pPr>
              <w:pStyle w:val="Compact"/>
              <w:jc w:val="right"/>
            </w:pPr>
            <w:r>
              <w:t xml:space="preserve">1,00</w:t>
            </w:r>
          </w:p>
        </w:tc>
        <w:tc>
          <w:tcPr/>
          <w:p>
            <w:pPr>
              <w:pStyle w:val="Compact"/>
              <w:jc w:val="right"/>
            </w:pPr>
            <w:r>
              <w:t xml:space="preserve">0,92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0,97</w:t>
            </w:r>
          </w:p>
        </w:tc>
        <w:tc>
          <w:tcPr/>
          <w:p>
            <w:pPr>
              <w:pStyle w:val="Compact"/>
              <w:jc w:val="right"/>
            </w:pPr>
            <w:r>
              <w:t xml:space="preserve">1,00</w:t>
            </w:r>
          </w:p>
        </w:tc>
      </w:tr>
    </w:tbl>
    <w:p>
      <w:pPr>
        <w:pStyle w:val="BodyText"/>
      </w:pPr>
      <w:r>
        <w:t xml:space="preserve">Gradient thể chế</w:t>
      </w:r>
      <w:r>
        <w:t xml:space="preserve"> </w:t>
      </w:r>
      <w:r>
        <w:rPr>
          <w:bCs/>
          <w:b/>
        </w:rPr>
        <w:t xml:space="preserve">hợp lệ</w:t>
      </w:r>
      <w:r>
        <w:t xml:space="preserve"> </w:t>
      </w:r>
      <w:r>
        <w:t xml:space="preserve">(bất biến tiền tệ) nằm ở</w:t>
      </w:r>
      <w:r>
        <w:t xml:space="preserve"> </w:t>
      </w:r>
      <w:r>
        <w:rPr>
          <w:bCs/>
          <w:b/>
        </w:rPr>
        <w:t xml:space="preserve">tỷ suất sinh lời trên doanh thu (ROS)</w:t>
      </w:r>
      <w:r>
        <w:t xml:space="preserve"> </w:t>
      </w:r>
      <w:r>
        <w:t xml:space="preserve">— chỉ số mức không thứ nguyên: ROS trung vị giảm từ</w:t>
      </w:r>
      <w:r>
        <w:t xml:space="preserve"> </w:t>
      </w:r>
      <w:r>
        <w:rPr>
          <w:bCs/>
          <w:b/>
        </w:rPr>
        <w:t xml:space="preserve">0,50 (Nhóm I) → 0,45 (III) → 0,35 (IV)</w:t>
      </w:r>
      <w:r>
        <w:t xml:space="preserve">; Nhóm V–VI méo bởi outlier nên dùng trung vị (V≈0,41; VI≈0,47). Nguồn:</w:t>
      </w:r>
      <w:r>
        <w:t xml:space="preserve"> </w:t>
      </w:r>
      <w:r>
        <w:rPr>
          <w:rStyle w:val="VerbatimChar"/>
        </w:rPr>
        <w:t xml:space="preserve">data_wbes/analysis/FP_DESCRIPTIVES_RESULTS.md</w:t>
      </w:r>
      <w:r>
        <w:t xml:space="preserve">.</w:t>
      </w:r>
    </w:p>
    <w:p>
      <w:pPr>
        <w:pStyle w:val="BodyText"/>
      </w:pPr>
      <w:r>
        <w:t xml:space="preserve">Phát hiện chính (sau hiệu chỉnh artifact): (1) phân tán</w:t>
      </w:r>
      <w:r>
        <w:t xml:space="preserve"> </w:t>
      </w:r>
      <w:r>
        <w:rPr>
          <w:bCs/>
          <w:b/>
        </w:rPr>
        <w:t xml:space="preserve">năng suất nội nhóm</w:t>
      </w:r>
      <w:r>
        <w:t xml:space="preserve"> </w:t>
      </w:r>
      <w:r>
        <w:t xml:space="preserve">(LP-z) gần đồng đều giữa các nhóm ICRV (0,92–1,00) — gradient phân tán trong</w:t>
      </w:r>
      <w:r>
        <w:t xml:space="preserve"> </w:t>
      </w:r>
      <w:r>
        <w:t xml:space="preserve">“</w:t>
      </w:r>
      <w:r>
        <w:t xml:space="preserve">sd log</w:t>
      </w:r>
      <w:r>
        <w:t xml:space="preserve">”</w:t>
      </w:r>
      <w:r>
        <w:t xml:space="preserve"> </w:t>
      </w:r>
      <w:r>
        <w:t xml:space="preserve">thô phần lớn là artifact tiền tệ,</w:t>
      </w:r>
      <w:r>
        <w:t xml:space="preserve"> </w:t>
      </w:r>
      <w:r>
        <w:rPr>
          <w:bCs/>
          <w:b/>
        </w:rPr>
        <w:t xml:space="preserve">không</w:t>
      </w:r>
      <w:r>
        <w:t xml:space="preserve"> </w:t>
      </w:r>
      <w:r>
        <w:t xml:space="preserve">suy diễn được trực tiếp thành phân bổ sai nguồn lực; (2) gradient</w:t>
      </w:r>
      <w:r>
        <w:t xml:space="preserve"> </w:t>
      </w:r>
      <w:r>
        <w:rPr>
          <w:bCs/>
          <w:b/>
        </w:rPr>
        <w:t xml:space="preserve">mức</w:t>
      </w:r>
      <w:r>
        <w:t xml:space="preserve"> </w:t>
      </w:r>
      <w:r>
        <w:t xml:space="preserve">hợp lệ là</w:t>
      </w:r>
      <w:r>
        <w:t xml:space="preserve"> </w:t>
      </w:r>
      <w:r>
        <w:rPr>
          <w:bCs/>
          <w:b/>
        </w:rPr>
        <w:t xml:space="preserve">ROS trung vị giảm I→IV</w:t>
      </w:r>
      <w:r>
        <w:t xml:space="preserve"> </w:t>
      </w:r>
      <w:r>
        <w:t xml:space="preserve">(0,50→0,35), nhất quán với cơ chế điều tiết thể chế (thể chế yếu → biên lợi nhuận thấp hơn); (3) suy diễn về điều tiết thể chế trong quan hệ quốc tế hóa→hiệu quả được neo vào bằng chứng</w:t>
      </w:r>
      <w:r>
        <w:t xml:space="preserve"> </w:t>
      </w:r>
      <w:r>
        <w:rPr>
          <w:bCs/>
          <w:b/>
        </w:rPr>
        <w:t xml:space="preserve">suy diễn</w:t>
      </w:r>
      <w:r>
        <w:t xml:space="preserve"> </w:t>
      </w:r>
      <w:r>
        <w:t xml:space="preserve">ở meta-analysis P6 (</w:t>
      </w:r>
      <m:oMath>
        <m:sSub>
          <m:e>
            <m:r>
              <m:t>Q</m:t>
            </m:r>
          </m:e>
          <m:sub>
            <m:r>
              <m:t>M</m:t>
            </m:r>
          </m:sub>
        </m:sSub>
        <m:r>
          <m:rPr>
            <m:sty m:val="p"/>
          </m:rPr>
          <m:t>=</m:t>
        </m:r>
        <m:r>
          <m:t>17</m:t>
        </m:r>
        <m:r>
          <m:rPr>
            <m:sty m:val="p"/>
          </m:rPr>
          <m:t>,</m:t>
        </m:r>
        <m:r>
          <m:t>35</m:t>
        </m:r>
      </m:oMath>
      <w:r>
        <w:t xml:space="preserve">) và gradient điểm uốn P7, chứ không phải vào so sánh sd-log mô tả. Cách diễn giải misallocation theo Hsieh &amp; Klenow (2009, 2014) chỉ là</w:t>
      </w:r>
      <w:r>
        <w:t xml:space="preserve"> </w:t>
      </w:r>
      <w:r>
        <w:rPr>
          <w:bCs/>
          <w:b/>
        </w:rPr>
        <w:t xml:space="preserve">nhất quán</w:t>
      </w:r>
      <w:r>
        <w:t xml:space="preserve"> </w:t>
      </w:r>
      <w:r>
        <w:t xml:space="preserve">với khung, không phải bằng chứng phân rã trực tiếp.</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 Adv. đổi mới</w:t>
            </w:r>
          </w:p>
        </w:tc>
        <w:tc>
          <w:tcPr/>
          <w:p>
            <w:pPr>
              <w:pStyle w:val="Compact"/>
              <w:jc w:val="left"/>
            </w:pPr>
            <w:r>
              <w:t xml:space="preserve">13,4</w:t>
            </w:r>
          </w:p>
        </w:tc>
        <w:tc>
          <w:tcPr/>
          <w:p>
            <w:pPr>
              <w:pStyle w:val="Compact"/>
              <w:jc w:val="left"/>
            </w:pPr>
            <w:r>
              <w:t xml:space="preserve">28,4</w:t>
            </w:r>
          </w:p>
        </w:tc>
        <w:tc>
          <w:tcPr/>
          <w:p>
            <w:pPr>
              <w:pStyle w:val="Compact"/>
              <w:jc w:val="left"/>
            </w:pPr>
            <w:r>
              <w:t xml:space="preserve">3,0</w:t>
            </w:r>
          </w:p>
        </w:tc>
      </w:tr>
      <w:tr>
        <w:tc>
          <w:tcPr/>
          <w:p>
            <w:pPr>
              <w:pStyle w:val="Compact"/>
              <w:jc w:val="left"/>
            </w:pPr>
            <w:r>
              <w:t xml:space="preserve">II —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tái tính từ raw WBES trên khung 49 nền, dedupe theo nước-năm (</w:t>
      </w:r>
      <w:r>
        <w:rPr>
          <w:rStyle w:val="VerbatimChar"/>
          <w:iCs/>
          <w:i/>
        </w:rPr>
        <w:t xml:space="preserve">scripts/cd1_descriptives_pipeline.py</w:t>
      </w:r>
      <w:r>
        <w:rPr>
          <w:iCs/>
          <w:i/>
        </w:rPr>
        <w:t xml:space="preserve">; kết quả</w:t>
      </w:r>
      <w:r>
        <w:rPr>
          <w:iCs/>
          <w:i/>
        </w:rPr>
        <w:t xml:space="preserve"> </w:t>
      </w:r>
      <w:r>
        <w:rPr>
          <w:rStyle w:val="VerbatimChar"/>
          <w:iCs/>
          <w:i/>
        </w:rPr>
        <w:t xml:space="preserve">data_wbes/analysis/CD1_PIPELINE_RESULTS.md</w:t>
      </w:r>
      <w:r>
        <w:rPr>
          <w:iCs/>
          <w:i/>
        </w:rPr>
        <w:t xml:space="preserve">). ¹Nhóm II:</w:t>
      </w:r>
      <w:r>
        <w:rPr>
          <w:iCs/>
          <w:i/>
        </w:rPr>
        <w:t xml:space="preserve"> </w:t>
      </w:r>
      <w:r>
        <w:rPr>
          <w:bCs/>
          <w:b/>
          <w:iCs/>
          <w:i/>
        </w:rPr>
        <w:t xml:space="preserve">đủ 6/6 nền GCC</w:t>
      </w:r>
      <w:r>
        <w:rPr>
          <w:iCs/>
          <w:i/>
        </w:rPr>
        <w:t xml:space="preserve"> </w:t>
      </w:r>
      <w:r>
        <w:rPr>
          <w:iCs/>
          <w:i/>
        </w:rPr>
        <w:t xml:space="preserve">(Bahrain, Brunei, Kuwait, Oman, Qatar, Saudi Arabia). ²Nhóm VI:</w:t>
      </w:r>
      <w:r>
        <w:rPr>
          <w:iCs/>
          <w:i/>
        </w:rPr>
        <w:t xml:space="preserve"> </w:t>
      </w:r>
      <w:r>
        <w:rPr>
          <w:bCs/>
          <w:b/>
          <w:iCs/>
          <w:i/>
        </w:rPr>
        <w:t xml:space="preserve">đủ 8/8 nền</w:t>
      </w:r>
      <w:r>
        <w:rPr>
          <w:iCs/>
          <w:i/>
        </w:rPr>
        <w:t xml:space="preserve"> </w:t>
      </w:r>
      <w:r>
        <w:rPr>
          <w:iCs/>
          <w:i/>
        </w:rPr>
        <w:t xml:space="preserve">(7 Pacific + Timor-Leste; 2.295 DN). Bản khóa mô tả 7-Pacific trước đây: 6,3% / 16,3% / CAGR 5,77.</w:t>
      </w:r>
    </w:p>
    <w:p>
      <w:pPr>
        <w:pStyle w:val="BodyText"/>
      </w:pPr>
      <w:r>
        <w:t xml:space="preserve">Trung vị FSTS bằng 0% — phân phối phân cực mạnh với chỉ khoảng 10–28% doanh nghiệp tham gia xuất khẩu tùy theo nhóm (cao nhất ở Nhóm I, thấp nhất ở Nhóm VI). Theo bản khóa mô tả 7-Pacific, SIDS có tốc độ tăng trưởng việc làm hàng năm kép cao nhất (5,77%), phản ánh quy mô nhỏ và tăng trưởng từ nền thấp. Nhóm I và III có FSTS cao nhất (13,4% và 10,3%) nhưng cơ chế xuất khẩu khác nhau: Nhóm I chủ yếu dịch vụ và hàng hóa hàm lượng tri thức cao; Nhóm III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tính từ raw WBES, khung 49 nền, dedupe nước-năm (h1/h5/h8/b8/c22b). ¹Nhóm II:</w:t>
      </w:r>
      <w:r>
        <w:rPr>
          <w:iCs/>
          <w:i/>
        </w:rPr>
        <w:t xml:space="preserve"> </w:t>
      </w:r>
      <w:r>
        <w:rPr>
          <w:bCs/>
          <w:b/>
          <w:iCs/>
          <w:i/>
        </w:rPr>
        <w:t xml:space="preserve">đủ 6/6 nền GCC</w:t>
      </w:r>
      <w:r>
        <w:rPr>
          <w:iCs/>
          <w:i/>
        </w:rPr>
        <w:t xml:space="preserve"> </w:t>
      </w:r>
      <w:r>
        <w:rPr>
          <w:iCs/>
          <w:i/>
        </w:rPr>
        <w:t xml:space="preserve">(số THẬT, thay artifact 2-nền trước đây) — đặc trưng dầu mỏ: R&amp;D thấp (7,0%), nữ quản lý cấp cao rất thấp (4,6%), website 50,2%. ²Nhóm VI:</w:t>
      </w:r>
      <w:r>
        <w:rPr>
          <w:iCs/>
          <w:i/>
        </w:rPr>
        <w:t xml:space="preserve"> </w:t>
      </w:r>
      <w:r>
        <w:rPr>
          <w:bCs/>
          <w:b/>
          <w:iCs/>
          <w:i/>
        </w:rPr>
        <w:t xml:space="preserve">đủ 8/8 nền</w:t>
      </w:r>
      <w:r>
        <w:rPr>
          <w:iCs/>
          <w:i/>
        </w:rPr>
        <w:t xml:space="preserve"> </w:t>
      </w:r>
      <w:r>
        <w:rPr>
          <w:iCs/>
          <w:i/>
        </w:rPr>
        <w:t xml:space="preserve">— đổi mới sản phẩm CAO NHẤT mọi nhóm (34,2%) và website 41,5%,</w:t>
      </w:r>
      <w:r>
        <w:rPr>
          <w:iCs/>
          <w:i/>
        </w:rPr>
        <w:t xml:space="preserve"> </w:t>
      </w:r>
      <w:r>
        <w:rPr>
          <w:bCs/>
          <w:b/>
          <w:iCs/>
          <w:i/>
        </w:rPr>
        <w:t xml:space="preserve">XÁC NHẬN</w:t>
      </w:r>
      <w:r>
        <w:rPr>
          <w:iCs/>
          <w:i/>
        </w:rPr>
        <w:t xml:space="preserve"> </w:t>
      </w:r>
      <w:r>
        <w:rPr>
          <w:iCs/>
          <w:i/>
        </w:rPr>
        <w:t xml:space="preserve">pattern</w:t>
      </w:r>
      <w:r>
        <w:rPr>
          <w:iCs/>
          <w:i/>
        </w:rPr>
        <w:t xml:space="preserve"> </w:t>
      </w:r>
      <w:r>
        <w:rPr>
          <w:iCs/>
          <w:i/>
        </w:rPr>
        <w:t xml:space="preserve">“</w:t>
      </w:r>
      <w:r>
        <w:rPr>
          <w:iCs/>
          <w:i/>
        </w:rPr>
        <w:t xml:space="preserve">thích nghi &amp; nhảy vọt số</w:t>
      </w:r>
      <w:r>
        <w:rPr>
          <w:iCs/>
          <w:i/>
        </w:rPr>
        <w:t xml:space="preserve">”</w:t>
      </w:r>
      <w:r>
        <w:rPr>
          <w:iCs/>
          <w:i/>
        </w:rPr>
        <w:t xml:space="preserve"> </w:t>
      </w:r>
      <w:r>
        <w:rPr>
          <w:iCs/>
          <w:i/>
        </w:rPr>
        <w:t xml:space="preserve">của SIDS bằng dữ liệu đầy đủ (bản khóa 7-Pacific trước đây ước 41,5%/58,9%).</w:t>
      </w:r>
    </w:p>
    <w:p>
      <w:pPr>
        <w:pStyle w:val="BodyText"/>
      </w:pPr>
      <w:r>
        <w:t xml:space="preserve">Với dữ liệu raw đầy đủ 8/8 nền Nhóm VI, SIDS thể hiện pattern</w:t>
      </w:r>
      <w:r>
        <w:t xml:space="preserve"> </w:t>
      </w:r>
      <w:r>
        <w:rPr>
          <w:bCs/>
          <w:b/>
        </w:rPr>
        <w:t xml:space="preserve">thích nghi và nhảy vọt số</w:t>
      </w:r>
      <w:r>
        <w:t xml:space="preserve"> </w:t>
      </w:r>
      <w:r>
        <w:t xml:space="preserve">đã được XÁC NHẬN: tỷ lệ đổi mới sản phẩm</w:t>
      </w:r>
      <w:r>
        <w:t xml:space="preserve"> </w:t>
      </w:r>
      <w:r>
        <w:rPr>
          <w:bCs/>
          <w:b/>
        </w:rPr>
        <w:t xml:space="preserve">cao nhất mọi nhóm (34,2%)</w:t>
      </w:r>
      <w:r>
        <w:t xml:space="preserve"> </w:t>
      </w:r>
      <w:r>
        <w:t xml:space="preserve">phản ánh đổi mới bằng nguồn lực hạn chế — sáng tạo không chính thức bù đắp thiếu hụt nguồn lực; website 41,5% ngang nhóm Đang nổi dù GNI thấp hơn đáng kể. Gradient năng lực thể chế vẫn rõ ở các biến nền tảng: R&amp;D giảm từ 20,5% (Nhóm I) xuống 10,2% (Nhóm VI); ISO 35,0%→12,2%; website 61,7%→41,5%. Phân tách rõ TCI so với DAI — kế thừa Đỗ &amp; Phan (2026 — VEFR).</w:t>
      </w:r>
    </w:p>
    <w:bookmarkEnd w:id="46"/>
    <w:bookmarkStart w:id="47" w:name="Xf9def7853091997378673ae7720d7322a439a73"/>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 Adv. đổi mới</w:t>
            </w:r>
          </w:p>
        </w:tc>
        <w:tc>
          <w:tcPr/>
          <w:p>
            <w:pPr>
              <w:pStyle w:val="Compact"/>
              <w:jc w:val="left"/>
            </w:pPr>
            <w:r>
              <w:t xml:space="preserve">79,5</w:t>
            </w:r>
          </w:p>
        </w:tc>
        <w:tc>
          <w:tcPr/>
          <w:p>
            <w:pPr>
              <w:pStyle w:val="Compact"/>
              <w:jc w:val="left"/>
            </w:pPr>
            <w:r>
              <w:t xml:space="preserve">28,4</w:t>
            </w:r>
          </w:p>
        </w:tc>
        <w:tc>
          <w:tcPr/>
          <w:p>
            <w:pPr>
              <w:pStyle w:val="Compact"/>
              <w:jc w:val="left"/>
            </w:pPr>
            <w:r>
              <w:t xml:space="preserve">10,6</w:t>
            </w:r>
          </w:p>
        </w:tc>
      </w:tr>
      <w:tr>
        <w:tc>
          <w:tcPr/>
          <w:p>
            <w:pPr>
              <w:pStyle w:val="Compact"/>
              <w:jc w:val="left"/>
            </w:pPr>
            <w:r>
              <w:t xml:space="preserve">II —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tái tính từ raw WBES, khung 49 nền, dedupe nước-năm (SME = &lt;100 lao động thường xuyên l1; FDI = sở hữu nước ngoài b2b ≥10%). ¹Nhóm II: đủ 6/6 nền GCC. ²Nhóm VI: đủ 8/8 nền — SME cao nhất (91,8%) và FDI cao (20,0%, do du lịch/viễn thông MNE); bản khóa 7-Pacific trước đây: SME 88,5%, FDI 23,5%.</w:t>
      </w:r>
    </w:p>
    <w:p>
      <w:pPr>
        <w:pStyle w:val="BodyText"/>
      </w:pPr>
      <w:r>
        <w:rPr>
          <w:iCs/>
          <w:i/>
        </w:rPr>
        <w:t xml:space="preserve">Hình 2.3.5.1. Stacked bar chart: Nhóm VI (SIDS, đủ 8/8 nền) có tỷ lệ SME cao nhất (91,8%), Nhóm V kế tiếp (85,7%), Nhóm IV thấp nhất (74,0%).</w:t>
      </w:r>
    </w:p>
    <w:p>
      <w:pPr>
        <w:pStyle w:val="BodyText"/>
      </w:pPr>
      <w:r>
        <w:t xml:space="preserve">Tỷ lệ FDI có dạng chữ U với cực tiểu ở Nhóm IV — Chuyển đổi TB-thấp (3,1%). SIDS có FDI cao (20,0% theo raw đủ 8 nền)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18d070c66c9c1e710d1010d38c650c342e9258f"/>
    <w:p>
      <w:pPr>
        <w:pStyle w:val="Heading4"/>
      </w:pPr>
      <w:r>
        <w:t xml:space="preserve">2.3.7.3 Việt Nam (n=2.958, 3 đợt khảo sát — mẫu phân tích P3)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559-mẫu-phân-tích-p5"/>
    <w:p>
      <w:pPr>
        <w:pStyle w:val="Heading4"/>
      </w:pPr>
      <w:r>
        <w:t xml:space="preserve">2.3.7.4 Trung Quốc (n=4.559 — mẫu phân tích P5)</w:t>
      </w:r>
    </w:p>
    <w:p>
      <w:pPr>
        <w:pStyle w:val="FirstParagraph"/>
      </w:pPr>
      <w:r>
        <w:t xml:space="preserve">FSTS 10,9% → 8,8%; FDI ≥10% chiếm 6,0%. Quan hệ FSTS – năng suất có dạng hàm bậc hai (U ngược) với điểm uốn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1"/>
    <w:bookmarkStart w:id="62" w:name="X899cb513c960898c1a25d20448f39c61b9b2c62"/>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2"/>
    <w:bookmarkStart w:id="63" w:name="X7b66a270a9cf1e965c06d68bbffe282f59d2e9a"/>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2.958</w:t>
            </w:r>
          </w:p>
        </w:tc>
        <w:tc>
          <w:tcPr/>
          <w:p>
            <w:pPr>
              <w:pStyle w:val="Compact"/>
              <w:jc w:val="left"/>
            </w:pPr>
            <w:r>
              <w:t xml:space="preserve">4.559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(Hệ số tương quan Pearson — không áp dụng HC1; HC1 dành cho SE hồi quy ở CĐ2.)</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Pattern này</w:t>
      </w:r>
      <w:r>
        <w:t xml:space="preserve"> </w:t>
      </w:r>
      <w:r>
        <w:rPr>
          <w:bCs/>
          <w:b/>
        </w:rPr>
        <w:t xml:space="preserve">nhất quán với giả thuyết phân bổ sai nguồn lực</w:t>
      </w:r>
      <w:r>
        <w:t xml:space="preserve"> </w:t>
      </w:r>
      <w:r>
        <w:t xml:space="preserve">(Hsieh &amp; Klenow, 2009, 2014) —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10–28% doanh nghiệp xuất khẩu tùy nhóm.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108 cặp quốc gia–năm</w:t>
            </w:r>
          </w:p>
        </w:tc>
      </w:tr>
      <w:tr>
        <w:tc>
          <w:tcPr/>
          <w:p>
            <w:pPr>
              <w:pStyle w:val="Compact"/>
              <w:jc w:val="left"/>
            </w:pPr>
            <w:r>
              <w:rPr>
                <w:bCs/>
                <w:b/>
              </w:rPr>
              <w:t xml:space="preserve">KT2</w:t>
            </w:r>
            <w:r>
              <w:t xml:space="preserve"> </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w:t>
            </w:r>
            <w:r>
              <w:t xml:space="preserve">— Nghịch lý bão hòa số chưa xác nhận nhân quả</w:t>
            </w:r>
          </w:p>
        </w:tc>
        <w:tc>
          <w:tcPr/>
          <w:p>
            <w:pPr>
              <w:pStyle w:val="Compact"/>
              <w:jc w:val="left"/>
            </w:pPr>
            <w:r>
              <w:t xml:space="preserve">Hệ số DAI âm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w:t>
            </w:r>
            <w:r>
              <w:t xml:space="preserve">— Dị biệt thời gian ba giai đoạn chưa tổng hợp</w:t>
            </w:r>
          </w:p>
        </w:tc>
        <w:tc>
          <w:tcPr/>
          <w:p>
            <w:pPr>
              <w:pStyle w:val="Compact"/>
              <w:jc w:val="left"/>
            </w:pPr>
            <w:r>
              <w:t xml:space="preserve">Vị trí điểm uốn và độ cong I–P có ổn định qua 2009–2025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Khung canonical 49 nền / 91.982 doanh nghiệp (pool phân loại 96.415 DN / 52 nền; pool mô tả CĐ1 101.185 DN / 47 nền)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khung canonical 49 nền kinh tế / 91.982 doanh nghiệp (pool phân loại 96.415 DN / 52 nền; phần thống kê mô tả §2.3.3–2.3.8 trên pool mô tả CĐ1 101.185 DN / 47 nền / 108 cặp),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~4.220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~1.932</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~16.693</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~47.803</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~28.678</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~1.371</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(đồng bộ với Bảng 2.3.2.1 thân bài) do hài hòa hóa loại quan sát thiếu biến phụ thuộc; phân bổ analytic chính xác tại Bảng 2.3.3.1. Bản khóa CĐ1 = 101.185/47 nền; luận án dùng bản cập nhật 96.415/52 nền phân loại (mẫu phân tích 49 nền/91.982) — sẽ re-lock đầy đủ khi có raw WBES 43 nền còn thiếu.</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2026-06-11T20:44:54Z</dcterms:created>
  <dcterms:modified xsi:type="dcterms:W3CDTF">2026-06-11T20:44:54Z</dcterms:modified>
</cp:coreProperties>
</file>

<file path=docProps/custom.xml><?xml version="1.0" encoding="utf-8"?>
<Properties xmlns="http://schemas.openxmlformats.org/officeDocument/2006/custom-properties" xmlns:vt="http://schemas.openxmlformats.org/officeDocument/2006/docPropsVTypes"/>
</file>