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Management International Review (MIR)</w:t>
      </w:r>
    </w:p>
    <w:bookmarkStart w:id="20" w:name="abstract"/>
    <w:p>
      <w:pPr>
        <w:pStyle w:val="Heading2"/>
      </w:pPr>
      <w:r>
        <w:t xml:space="preserve">Abstract</w:t>
      </w:r>
    </w:p>
    <w:p>
      <w:pPr>
        <w:pStyle w:val="FirstParagraph"/>
      </w:pPr>
      <w:r>
        <w:t xml:space="preserve">This study examines how technological capability and digital adoption relate to the internationalization–performance (I–P) relationship among firms in Singapore. Singapore is treated as a boundary-case test at the advanced-economy ceiling of the institutional spectrum, revealing how the conventional nonlinear logic behaves when digital infrastructure is near-universally diffused and institutional transaction costs are lowest. Using World Bank Enterprise Survey microdata for Singapore 2023, the analysis distinguishes a Technological Capability Index (TCI), capturing firm-internal capability depth, from a Digital Adoption Index (DAI), capturing foundational digital interfaces. Three findings emerge. Within the observed export-intensity range, the I–P relationship is better characterized as predominantly positive with mild quadratic curvature than as a formally identified inverted-U, with the fitted turning point imprecisely located in a sparsely populated upper tail. Technological capability is positively associated with labour productivity, with no statistically distinguishable TCI moderation under the present design. Digital adoption exhibits no large uniform productivity premium, and its association with productivity strengthens only at higher export intensity. Reporting associations rather than effects, the evidence sharpens the distinction between technological capability and foundational digital adoption, suggesting that digital adoption functions more as a contingent scaling resource than a uniform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0"/>
    <w:bookmarkStart w:id="25" w:name="Xe3d0fc0bea9a42ce7605565d0964033d7f6ee47"/>
    <w:p>
      <w:pPr>
        <w:pStyle w:val="Heading2"/>
      </w:pPr>
      <w:r>
        <w:t xml:space="preserve">1 Introduction</w:t>
      </w:r>
    </w:p>
    <w:bookmarkStart w:id="21"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this study terms a</w:t>
      </w:r>
      <w:r>
        <w:t xml:space="preserve"> </w:t>
      </w:r>
      <w:r>
        <w:rPr>
          <w:iCs/>
          <w:i/>
        </w:rPr>
        <w:t xml:space="preserve">digital saturation paradox</w:t>
      </w:r>
      <w:r>
        <w:t xml:space="preserve">. Where Tier 1–2 digital interfaces (websites, electronic payment systems) are already widely diffused, these tools function as hygiene factors for domestic operations rather than as differentiating assets. The sample bears this out: 82% of firms report zero exports, while only 3% exceed 50% foreign sales to total sales, a striking domestic orientation despite the economy's mature digital infrastructure. The productivity returns to foundational digital adoption should not, therefore, be expected to manifest uniformly across all firms. They should instead become measurable primarily when firms face the intensified coordination and transaction demands of cross-border activity. Singapore serves here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1"/>
    <w:bookmarkStart w:id="22" w:name="X2961a496af63dca26d6e29b654ead2e696c6fdd"/>
    <w:p>
      <w:pPr>
        <w:pStyle w:val="Heading3"/>
      </w:pPr>
      <w:r>
        <w:t xml:space="preserve">1.2 Research gap</w:t>
      </w:r>
    </w:p>
    <w:p>
      <w:pPr>
        <w:pStyle w:val="FirstParagraph"/>
      </w:pP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p>
    <w:bookmarkEnd w:id="22"/>
    <w:bookmarkStart w:id="23"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show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(H4: positive quadratic DAI×</w:t>
      </w:r>
      <m:oMath>
        <m:sSup>
          <m:e>
            <m:r>
              <m:rPr>
                <m:sty m:val="p"/>
              </m:rPr>
              <m:t>F</m:t>
            </m:r>
            <m:r>
              <m:rPr>
                <m:sty m:val="p"/>
              </m:rPr>
              <m:t>S</m:t>
            </m:r>
            <m:r>
              <m:rPr>
                <m:sty m:val="p"/>
              </m:rPr>
              <m:t>T</m:t>
            </m:r>
            <m:r>
              <m:rPr>
                <m:sty m:val="p"/>
              </m:rPr>
              <m:t>S</m:t>
            </m:r>
          </m:e>
          <m:sup>
            <m:r>
              <m:t>2</m:t>
            </m:r>
          </m:sup>
        </m:sSup>
      </m:oMath>
      <w:r>
        <w:t xml:space="preserve"> </w:t>
      </w:r>
      <w:r>
        <w:t xml:space="preserve">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FSTS=82%,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w:t>
      </w:r>
    </w:p>
    <w:bookmarkEnd w:id="23"/>
    <w:bookmarkStart w:id="24"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4"/>
    <w:bookmarkEnd w:id="25"/>
    <w:bookmarkStart w:id="37" w:name="X8bf20a63f0decf7b16e99d564b9958ec4fbbb23"/>
    <w:p>
      <w:pPr>
        <w:pStyle w:val="Heading2"/>
      </w:pPr>
      <w:r>
        <w:t xml:space="preserve">2 Theory and Hypotheses</w:t>
      </w:r>
    </w:p>
    <w:bookmarkStart w:id="26"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26"/>
    <w:bookmarkStart w:id="27"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27"/>
    <w:bookmarkStart w:id="32" w:name="Xfeb3205642325e47f2817bab2cc060c9f999b02"/>
    <w:p>
      <w:pPr>
        <w:pStyle w:val="Heading3"/>
      </w:pPr>
      <w:r>
        <w:t xml:space="preserve">2.3 Hypothesis development</w:t>
      </w:r>
    </w:p>
    <w:bookmarkStart w:id="28"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Technological capability (TCI) is positively associated with firm performance in Singapore.</w:t>
      </w:r>
    </w:p>
    <w:bookmarkEnd w:id="28"/>
    <w:bookmarkStart w:id="29"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(Rugman &amp; Verbeke, 2004),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H3, and H4 only; a TCI moderation hypothesis (labelled H2 in the companion Vietnam and China papers in this series) is not posited for the Singapore context, where the advanced-economy setting and near-universal digital diffusion do not generate the institutional heterogeneity that would support a confident ex-ante prediction about TCI-contingent I–P curvature.</w:t>
      </w:r>
    </w:p>
    <w:bookmarkEnd w:id="29"/>
    <w:bookmarkStart w:id="30"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and may emerge only after complementary organisational adjustments accumulate (Brynjolfsson, Rock, &amp; Syverson, 2021).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3 (H3). The productivity association of digital adoption (DAI) in Singapore varies systematically across the export-intensity distribution: empirically, the joint test on the DAI direct and DAI×FSTS interaction terms rejects the null of a uniform DAI–productivity association across the full FSTS range.</w:t>
      </w:r>
    </w:p>
    <w:bookmarkEnd w:id="30"/>
    <w:bookmarkStart w:id="31"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r>
        <w:t xml:space="preserve"> </w:t>
      </w:r>
      <w:r>
        <w:t xml:space="preserve">Hypothesis 4 (H4). The association between digital adoption (DAI) and firm performance becomes more positive at higher levels of export intensity in Singapore.</w:t>
      </w:r>
    </w:p>
    <w:bookmarkEnd w:id="31"/>
    <w:bookmarkEnd w:id="32"/>
    <w:bookmarkStart w:id="36"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H3 and H4 are jointly informative: H3 concerns the non-uniformity of the DAI–productivity association, whereas H4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drawing>
          <wp:inline>
            <wp:extent cx="5753100" cy="3978568"/>
            <wp:effectExtent b="0" l="0" r="0" t="0"/>
            <wp:docPr descr="Figure 1: Conceptual model. TCI and DAI moderating the I–P relationsh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Internationalization (FSTS,</w:t>
      </w:r>
      <w:r>
        <w:t xml:space="preserve"> </w:t>
      </w:r>
      <m:oMath>
        <m:sSup>
          <m:e>
            <m:r>
              <m:rPr>
                <m:sty m:val="p"/>
              </m:rPr>
              <m:t>F</m:t>
            </m:r>
            <m:r>
              <m:rPr>
                <m:sty m:val="p"/>
              </m:rPr>
              <m:t>S</m:t>
            </m:r>
            <m:r>
              <m:rPr>
                <m:sty m:val="p"/>
              </m:rPr>
              <m:t>T</m:t>
            </m:r>
            <m:r>
              <m:rPr>
                <m:sty m:val="p"/>
              </m:rPr>
              <m:t>S</m:t>
            </m:r>
          </m:e>
          <m:sup>
            <m:r>
              <m:t>2</m:t>
            </m:r>
          </m:sup>
        </m:sSup>
      </m:oMath>
      <w:r>
        <w:t xml:space="preserve">) is the independent variable; firm performance, measured as ln(labour productivity), is the dependent variable. Digital adoption (DAI) is the contingency variable on the I–P path (H4); technological capability (TCI) enters mainly as a direct-effect construct (H1), with any moderation by TCI assessed in a supplementary test rather than hypothesized ex ante. The diagram also lists the direct effect of DAI on the dependent variable (H3), which is estimated in the empirical model but not drawn as a crossing arrow for visual clarity. Firm size, age, foreign ownership, and broad-sector fixed effects enter as controls. Solid arrows denote direct associations; dashed arrows denote moderation associations. The setting is Singapore as a within-context, analytically informative case of a digitally advanced economy (WBES 2023, N = 623 / 617).</w:t>
      </w:r>
    </w:p>
    <w:bookmarkEnd w:id="36"/>
    <w:bookmarkEnd w:id="37"/>
    <w:bookmarkStart w:id="45" w:name="X167a2da0345881bf36eef0606d50b1063a572d3"/>
    <w:p>
      <w:pPr>
        <w:pStyle w:val="Heading2"/>
      </w:pPr>
      <w:r>
        <w:t xml:space="preserve">3 Methods</w:t>
      </w:r>
    </w:p>
    <w:bookmarkStart w:id="38" w:name="X7539fb3dc2f98232f41138bc75cab658563f4ee"/>
    <w:p>
      <w:pPr>
        <w:pStyle w:val="Heading3"/>
      </w:pPr>
      <w:r>
        <w:t xml:space="preserve">3.1 Data</w:t>
      </w:r>
    </w:p>
    <w:p>
      <w:pPr>
        <w:pStyle w:val="FirstParagraph"/>
      </w:pPr>
      <w:r>
        <w:t xml:space="preserve">We use the World Bank Enterprise Survey (WBES) Singapore 2023 wave (World Bank, 2024),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 2 e-payment adoption (customer- and supplier-side) is widespread relative to emerging-market contexts. This saturation is consistent with Singapore's advanced institutional context and explains why the Lind–Mehlum test for the inverted-U does not formally reject monotonicity at conventional thresholds (p = .303): when foundational digital adoption is near-uniformly diffused, the right-tail attenuation that drives the curvature mechanism is harder to detect with a 623-firm sample. Figure 3 [see Figures section] illustrates the predicted I–P curve and the sparse upper-tail region where the turning point is implied.</w:t>
      </w:r>
    </w:p>
    <w:bookmarkEnd w:id="38"/>
    <w:bookmarkStart w:id="43" w:name="Xbcf9f12e79107fa2c089aaf13fc6c4fb773f1c2"/>
    <w:p>
      <w:pPr>
        <w:pStyle w:val="Heading3"/>
      </w:pPr>
      <w:r>
        <w:t xml:space="preserve">3.2 Variables</w:t>
      </w:r>
    </w:p>
    <w:bookmarkStart w:id="39"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39"/>
    <w:bookmarkStart w:id="40"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p>
    <w:bookmarkEnd w:id="40"/>
    <w:bookmarkStart w:id="41"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w:t>
      </w:r>
      <w:r>
        <w:t xml:space="preserve"> </w:t>
      </w:r>
      <w:r>
        <w:rPr>
          <w:iCs/>
          <w:i/>
        </w:rPr>
        <w:t xml:space="preserve">constitute</w:t>
      </w:r>
      <w:r>
        <w:t xml:space="preserve"> </w:t>
      </w:r>
      <w:r>
        <w:t xml:space="preserve">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component indicators are standardized, aggregated using equal weights, and then re-standardized so that coefficients are interpretable in standard-deviation units.</w:t>
      </w:r>
    </w:p>
    <w:p>
      <w:pPr>
        <w:pStyle w:val="BodyText"/>
      </w:pPr>
      <w:r>
        <w:t xml:space="preserve">Table V1 maps each focal variable to its source items in the WBES Singapore 2023 instrument so that the empirical specifications are fully traceable to public microdata.</w:t>
      </w:r>
    </w:p>
    <w:p>
      <w:pPr>
        <w:pStyle w:val="BodyText"/>
      </w:pPr>
      <w:r>
        <w:rPr>
          <w:bCs/>
          <w:b/>
        </w:rPr>
        <w:t xml:space="preserve">Table V1.</w:t>
      </w:r>
      <w:r>
        <w:t xml:space="preserve"> </w:t>
      </w:r>
      <w:r>
        <w:t xml:space="preserve">Variable definitions and WBES item codes.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Operational definition</w:t>
            </w:r>
          </w:p>
        </w:tc>
        <w:tc>
          <w:tcPr/>
          <w:p>
            <w:pPr>
              <w:pStyle w:val="Compact"/>
              <w:jc w:val="left"/>
            </w:pPr>
            <w:r>
              <w:t xml:space="preserve">WBES item(s)</w:t>
            </w:r>
          </w:p>
        </w:tc>
        <w:tc>
          <w:tcPr/>
          <w:p>
            <w:pPr>
              <w:pStyle w:val="Compact"/>
              <w:jc w:val="left"/>
            </w:pPr>
            <w:r>
              <w:t xml:space="preserve">Source / rationale</w:t>
            </w:r>
          </w:p>
        </w:tc>
      </w:tr>
      <w:tr>
        <w:tc>
          <w:tcPr/>
          <w:p>
            <w:pPr>
              <w:pStyle w:val="Compact"/>
              <w:jc w:val="left"/>
            </w:pPr>
            <w:r>
              <w:t xml:space="preserve">ln(LP)</w:t>
            </w:r>
          </w:p>
        </w:tc>
        <w:tc>
          <w:tcPr/>
          <w:p>
            <w:pPr>
              <w:pStyle w:val="Compact"/>
              <w:jc w:val="left"/>
            </w:pPr>
            <w:r>
              <w:t xml:space="preserve">ln(annual sales / full-time permanent employees), winsorised at 1st/99th percentiles</w:t>
            </w:r>
          </w:p>
        </w:tc>
        <w:tc>
          <w:tcPr/>
          <w:p>
            <w:pPr>
              <w:pStyle w:val="Compact"/>
              <w:jc w:val="left"/>
            </w:pPr>
            <w:r>
              <w:t xml:space="preserve">d2 (sales), l1 (employees)</w:t>
            </w:r>
          </w:p>
        </w:tc>
        <w:tc>
          <w:tcPr/>
          <w:p>
            <w:pPr>
              <w:pStyle w:val="Compact"/>
              <w:jc w:val="left"/>
            </w:pPr>
            <w:r>
              <w:t xml:space="preserve">Productivity-as-performance (Hitt et al., 1997; Lu &amp; Beamish, 2004)</w:t>
            </w:r>
          </w:p>
        </w:tc>
      </w:tr>
      <w:tr>
        <w:tc>
          <w:tcPr/>
          <w:p>
            <w:pPr>
              <w:pStyle w:val="Compact"/>
              <w:jc w:val="left"/>
            </w:pPr>
            <w:r>
              <w:t xml:space="preserve">FSTS</w:t>
            </w:r>
          </w:p>
        </w:tc>
        <w:tc>
          <w:tcPr/>
          <w:p>
            <w:pPr>
              <w:pStyle w:val="Compact"/>
              <w:jc w:val="left"/>
            </w:pPr>
            <w:r>
              <w:t xml:space="preserve">Direct-export share of annual sales, rescaled to [0, 1], mean-centred before squaring</w:t>
            </w:r>
          </w:p>
        </w:tc>
        <w:tc>
          <w:tcPr/>
          <w:p>
            <w:pPr>
              <w:pStyle w:val="Compact"/>
              <w:jc w:val="left"/>
            </w:pPr>
            <w:r>
              <w:t xml:space="preserve">d3c</w:t>
            </w:r>
          </w:p>
        </w:tc>
        <w:tc>
          <w:tcPr/>
          <w:p>
            <w:pPr>
              <w:pStyle w:val="Compact"/>
              <w:jc w:val="left"/>
            </w:pPr>
            <w:r>
              <w:t xml:space="preserve">Standard I–P literature operationalisation</w:t>
            </w:r>
          </w:p>
        </w:tc>
      </w:tr>
      <w:tr>
        <w:tc>
          <w:tcPr/>
          <w:p>
            <w:pPr>
              <w:pStyle w:val="Compact"/>
              <w:jc w:val="left"/>
            </w:pPr>
            <w:r>
              <w:t xml:space="preserve">TCI (formative)</w:t>
            </w:r>
          </w:p>
        </w:tc>
        <w:tc>
          <w:tcPr/>
          <w:p>
            <w:pPr>
              <w:pStyle w:val="Compact"/>
              <w:jc w:val="left"/>
            </w:pPr>
            <w:r>
              <w:t xml:space="preserve">Equal-weighted z-aggregate of four binary indicators, re-standardised</w:t>
            </w:r>
          </w:p>
        </w:tc>
        <w:tc>
          <w:tcPr/>
          <w:p>
            <w:pPr>
              <w:pStyle w:val="Compact"/>
              <w:jc w:val="left"/>
            </w:pPr>
            <w:r>
              <w:t xml:space="preserve">b8 (ISO/quality certification), e6 (R&amp;D activity), h1 (foreign-licensed technology), h8 (product innovation)</w:t>
            </w:r>
          </w:p>
        </w:tc>
        <w:tc>
          <w:tcPr/>
          <w:p>
            <w:pPr>
              <w:pStyle w:val="Compact"/>
              <w:jc w:val="left"/>
            </w:pPr>
            <w:r>
              <w:t xml:space="preserve">Lall (1992) absorptive-capacity tradition; Cohen &amp; Levinthal (1990)</w:t>
            </w:r>
          </w:p>
        </w:tc>
      </w:tr>
      <w:tr>
        <w:tc>
          <w:tcPr/>
          <w:p>
            <w:pPr>
              <w:pStyle w:val="Compact"/>
              <w:jc w:val="left"/>
            </w:pPr>
            <w:r>
              <w:t xml:space="preserve">DAI (formative, Tier 1–2)</w:t>
            </w:r>
          </w:p>
        </w:tc>
        <w:tc>
          <w:tcPr/>
          <w:p>
            <w:pPr>
              <w:pStyle w:val="Compact"/>
              <w:jc w:val="left"/>
            </w:pPr>
            <w:r>
              <w:t xml:space="preserve">Equal-weighted z-aggregate of website binary plus normalised electronic-payment intensities, re-standardised</w:t>
            </w:r>
          </w:p>
        </w:tc>
        <w:tc>
          <w:tcPr/>
          <w:p>
            <w:pPr>
              <w:pStyle w:val="Compact"/>
              <w:jc w:val="left"/>
            </w:pPr>
            <w:r>
              <w:t xml:space="preserve">c22b (website, Tier 1); k33 (customer-side e-payment %, Tier 2); k38 (supplier-side e-payment %, Tier 2)</w:t>
            </w:r>
          </w:p>
        </w:tc>
        <w:tc>
          <w:tcPr/>
          <w:p>
            <w:pPr>
              <w:pStyle w:val="Compact"/>
              <w:jc w:val="left"/>
            </w:pPr>
            <w:r>
              <w:t xml:space="preserve">Verhoef et al. (2021) digital-transformation hierarchy; Bharadwaj et al. (2013)</w:t>
            </w:r>
          </w:p>
        </w:tc>
      </w:tr>
      <w:tr>
        <w:tc>
          <w:tcPr/>
          <w:p>
            <w:pPr>
              <w:pStyle w:val="Compact"/>
              <w:jc w:val="left"/>
            </w:pPr>
            <w:r>
              <w:t xml:space="preserve">ln(Emp)</w:t>
            </w:r>
          </w:p>
        </w:tc>
        <w:tc>
          <w:tcPr/>
          <w:p>
            <w:pPr>
              <w:pStyle w:val="Compact"/>
              <w:jc w:val="left"/>
            </w:pPr>
            <w:r>
              <w:t xml:space="preserve">ln(full-time permanent employees)</w:t>
            </w:r>
          </w:p>
        </w:tc>
        <w:tc>
          <w:tcPr/>
          <w:p>
            <w:pPr>
              <w:pStyle w:val="Compact"/>
              <w:jc w:val="left"/>
            </w:pPr>
            <w:r>
              <w:t xml:space="preserve">l1</w:t>
            </w:r>
          </w:p>
        </w:tc>
        <w:tc>
          <w:tcPr/>
          <w:p>
            <w:pPr>
              <w:pStyle w:val="Compact"/>
              <w:jc w:val="left"/>
            </w:pPr>
            <w:r>
              <w:t xml:space="preserve">Standard firm-size control</w:t>
            </w:r>
          </w:p>
        </w:tc>
      </w:tr>
      <w:tr>
        <w:tc>
          <w:tcPr/>
          <w:p>
            <w:pPr>
              <w:pStyle w:val="Compact"/>
              <w:jc w:val="left"/>
            </w:pPr>
            <w:r>
              <w:t xml:space="preserve">FirmAge</w:t>
            </w:r>
          </w:p>
        </w:tc>
        <w:tc>
          <w:tcPr/>
          <w:p>
            <w:pPr>
              <w:pStyle w:val="Compact"/>
              <w:jc w:val="left"/>
            </w:pPr>
            <w:r>
              <w:t xml:space="preserve">survey year − year of establishment</w:t>
            </w:r>
          </w:p>
        </w:tc>
        <w:tc>
          <w:tcPr/>
          <w:p>
            <w:pPr>
              <w:pStyle w:val="Compact"/>
              <w:jc w:val="left"/>
            </w:pPr>
            <w:r>
              <w:t xml:space="preserve">b5</w:t>
            </w:r>
          </w:p>
        </w:tc>
        <w:tc>
          <w:tcPr/>
          <w:p>
            <w:pPr>
              <w:pStyle w:val="Compact"/>
              <w:jc w:val="left"/>
            </w:pPr>
            <w:r>
              <w:t xml:space="preserve">Liability-of-newness / cohort effects</w:t>
            </w:r>
          </w:p>
        </w:tc>
      </w:tr>
      <w:tr>
        <w:tc>
          <w:tcPr/>
          <w:p>
            <w:pPr>
              <w:pStyle w:val="Compact"/>
              <w:jc w:val="left"/>
            </w:pPr>
            <w:r>
              <w:t xml:space="preserve">ForeignOwned</w:t>
            </w:r>
          </w:p>
        </w:tc>
        <w:tc>
          <w:tcPr/>
          <w:p>
            <w:pPr>
              <w:pStyle w:val="Compact"/>
              <w:jc w:val="left"/>
            </w:pPr>
            <w:r>
              <w:t xml:space="preserve">Indicator: 1 if foreign ownership share ≥ 10 %</w:t>
            </w:r>
          </w:p>
        </w:tc>
        <w:tc>
          <w:tcPr/>
          <w:p>
            <w:pPr>
              <w:pStyle w:val="Compact"/>
              <w:jc w:val="left"/>
            </w:pPr>
            <w:r>
              <w:t xml:space="preserve">b2b</w:t>
            </w:r>
          </w:p>
        </w:tc>
        <w:tc>
          <w:tcPr/>
          <w:p>
            <w:pPr>
              <w:pStyle w:val="Compact"/>
              <w:jc w:val="left"/>
            </w:pPr>
            <w:r>
              <w:t xml:space="preserve">UNCTAD/IMF FDI cutoff convention</w:t>
            </w:r>
          </w:p>
        </w:tc>
      </w:tr>
      <w:tr>
        <w:tc>
          <w:tcPr/>
          <w:p>
            <w:pPr>
              <w:pStyle w:val="Compact"/>
              <w:jc w:val="left"/>
            </w:pPr>
            <w:r>
              <w:t xml:space="preserve">Sector FE</w:t>
            </w:r>
          </w:p>
        </w:tc>
        <w:tc>
          <w:tcPr/>
          <w:p>
            <w:pPr>
              <w:pStyle w:val="Compact"/>
              <w:jc w:val="left"/>
            </w:pPr>
            <w:r>
              <w:t xml:space="preserve">Manufacturing / Retail / Other services / Other</w:t>
            </w:r>
          </w:p>
        </w:tc>
        <w:tc>
          <w:tcPr/>
          <w:p>
            <w:pPr>
              <w:pStyle w:val="Compact"/>
              <w:jc w:val="left"/>
            </w:pPr>
            <w:r>
              <w:t xml:space="preserve">a4b (one-digit ISIC)</w:t>
            </w:r>
          </w:p>
        </w:tc>
        <w:tc>
          <w:tcPr/>
          <w:p>
            <w:pPr>
              <w:pStyle w:val="Compact"/>
              <w:jc w:val="left"/>
            </w:pPr>
            <w:r>
              <w:t xml:space="preserve">Absorbs sector heterogeneity in productivity, export propensity, and digital-adoption norms</w:t>
            </w:r>
          </w:p>
        </w:tc>
      </w:tr>
    </w:tbl>
    <w:p>
      <w:pPr>
        <w:pStyle w:val="BodyText"/>
      </w:pPr>
      <w:r>
        <w:t xml:space="preserve">Listwise deletion on the focal-variable set yields N = 623 for specifications without DAI and N = 617 for DAI-inclusive specifications (six firms have missing values on at least one of c22b, k33, k38).</w:t>
      </w:r>
    </w:p>
    <w:p>
      <w:pPr>
        <w:pStyle w:val="BodyText"/>
      </w:pPr>
      <w:r>
        <w:rPr>
          <w:bCs/>
          <w:b/>
        </w:rPr>
        <w:t xml:space="preserve">Formative vs. reflective measurement diagnostic (Coltman et al., 2008).</w:t>
      </w:r>
      <w:r>
        <w:t xml:space="preserve"> </w:t>
      </w:r>
      <w:r>
        <w:t xml:space="preserve">The Coltman, Devinney, Midgley, and Venaik (2008) four-criterion test motivates the formative specification for both composites:</w:t>
      </w:r>
    </w:p>
    <w:p>
      <w:pPr>
        <w:numPr>
          <w:ilvl w:val="0"/>
          <w:numId w:val="1001"/>
        </w:numPr>
        <w:pStyle w:val="Compact"/>
      </w:pPr>
      <w:r>
        <w:rPr>
          <w:iCs/>
          <w:i/>
        </w:rPr>
        <w:t xml:space="preserve">Direction of causality.</w:t>
      </w:r>
      <w:r>
        <w:t xml:space="preserve"> </w:t>
      </w:r>
      <w:r>
        <w:t xml:space="preserve">Each indicator (e.g. obtaining ISO certification, deploying a website) is a constitutive choice that</w:t>
      </w:r>
      <w:r>
        <w:t xml:space="preserve"> </w:t>
      </w:r>
      <w:r>
        <w:rPr>
          <w:iCs/>
          <w:i/>
        </w:rPr>
        <w:t xml:space="preserve">defines</w:t>
      </w:r>
      <w:r>
        <w:t xml:space="preserve"> </w:t>
      </w:r>
      <w:r>
        <w:t xml:space="preserve">the construct rather than a manifestation caused by an underlying latent capability. Dropping any indicator would change the meaning of TCI or DAI rather than just shift its measurement error.</w:t>
      </w:r>
    </w:p>
    <w:p>
      <w:pPr>
        <w:numPr>
          <w:ilvl w:val="0"/>
          <w:numId w:val="1001"/>
        </w:numPr>
        <w:pStyle w:val="Compact"/>
      </w:pPr>
      <w:r>
        <w:rPr>
          <w:iCs/>
          <w:i/>
        </w:rPr>
        <w:t xml:space="preserve">Interchangeability.</w:t>
      </w:r>
      <w:r>
        <w:t xml:space="preserve"> </w:t>
      </w:r>
      <w:r>
        <w:t xml:space="preserve">The component indicators are not interchangeable: ISO certification and R&amp;D effort, or website presence and e-payment penetration, capture distinct content domains that need not co-vary. The item-swap falsification test in Section 4.5 (R2 + indicator reassignment) confirms that swapping c22b from DAI into TCI breaks the canonical moderation result (joint F drops from 4.56 to 1.88).</w:t>
      </w:r>
    </w:p>
    <w:p>
      <w:pPr>
        <w:numPr>
          <w:ilvl w:val="0"/>
          <w:numId w:val="1001"/>
        </w:numPr>
        <w:pStyle w:val="Compact"/>
      </w:pPr>
      <w:r>
        <w:rPr>
          <w:iCs/>
          <w:i/>
        </w:rPr>
        <w:t xml:space="preserve">Covariation among indicators.</w:t>
      </w:r>
      <w:r>
        <w:t xml:space="preserve"> </w:t>
      </w:r>
      <w:r>
        <w:t xml:space="preserve">Inter-item correlations within TCI (mean r = 0.18) and within DAI (mean r = 0.21) are positive but modest, consistent with a formative model where indicators contribute partially independent information rather than redundantly indexing one latent factor.</w:t>
      </w:r>
    </w:p>
    <w:p>
      <w:pPr>
        <w:numPr>
          <w:ilvl w:val="0"/>
          <w:numId w:val="1001"/>
        </w:numPr>
        <w:pStyle w:val="Compact"/>
      </w:pPr>
      <w:r>
        <w:rPr>
          <w:iCs/>
          <w:i/>
        </w:rPr>
        <w:t xml:space="preserve">Antecedents and consequences.</w:t>
      </w:r>
      <w:r>
        <w:t xml:space="preserve"> </w:t>
      </w:r>
      <w:r>
        <w:t xml:space="preserve">Each indicator has distinct antecedents (e.g. R&amp;D effort responds to industry technological intensity, while ISO certification responds to export-market regulatory exposure) and contributes independently to the nomological consequences hypothesised in Section 2. This rules out the reflective alternative in which all indicators should share antecedents.</w:t>
      </w:r>
    </w:p>
    <w:p>
      <w:pPr>
        <w:pStyle w:val="FirstParagraph"/>
      </w:pPr>
      <w:r>
        <w:t xml:space="preserve">Together these four criteria reject a reflective measurement model for both TCI and DAI; the formative composites are therefore the appropriate operationalisation.</w:t>
      </w:r>
    </w:p>
    <w:bookmarkEnd w:id="41"/>
    <w:bookmarkStart w:id="42"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2"/>
    <w:bookmarkEnd w:id="43"/>
    <w:bookmarkStart w:id="44"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(MacKinnon &amp; White, 1985).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t xml:space="preserve"> </w:t>
      </w:r>
      <w:r>
        <w:t xml:space="preserve">The full empirical specification (Model M8) is</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where</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is mean-centred export intensity,</w:t>
      </w:r>
      <w:r>
        <w:t xml:space="preserve"> </w:t>
      </w:r>
      <m:oMath>
        <m:sSub>
          <m:e>
            <m:r>
              <m:rPr>
                <m:sty m:val="b"/>
              </m:rPr>
              <m:t>x</m:t>
            </m:r>
          </m:e>
          <m:sub>
            <m:r>
              <m:t>i</m:t>
            </m:r>
          </m:sub>
        </m:sSub>
      </m:oMath>
      <w:r>
        <w:t xml:space="preserve"> </w:t>
      </w:r>
      <w:r>
        <w:t xml:space="preserve">collects firm-level controls (log permanent employees, firm age, foreign-ownership indicator, broad-sector fixed effects), and standard errors are computed with the HC1 estimator (MacKinnon &amp; White, 1985).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when</w:t>
      </w:r>
      <w:r>
        <w:t xml:space="preserve"> </w:t>
      </w:r>
      <m:oMath>
        <m:sSub>
          <m:e>
            <m:acc>
              <m:accPr>
                <m:chr m:val="̂"/>
              </m:accPr>
              <m:e>
                <m:r>
                  <m:t>β</m:t>
                </m:r>
              </m:e>
            </m:acc>
          </m:e>
          <m:sub>
            <m:r>
              <m:t>2</m:t>
            </m:r>
          </m:sub>
        </m:sSub>
        <m:r>
          <m:rPr>
            <m:sty m:val="p"/>
          </m:rPr>
          <m:t>&lt;</m:t>
        </m:r>
        <m:r>
          <m:t>0</m:t>
        </m:r>
      </m:oMath>
      <w:r>
        <w:t xml:space="preserve">.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 All estimations are performed in Stata 18 with the</w:t>
      </w:r>
      <w:r>
        <w:t xml:space="preserve"> </w:t>
      </w:r>
      <w:r>
        <w:rPr>
          <w:rStyle w:val="VerbatimChar"/>
        </w:rPr>
        <w:t xml:space="preserve">utest</w:t>
      </w:r>
      <w:r>
        <w:t xml:space="preserve"> </w:t>
      </w:r>
      <w:r>
        <w:t xml:space="preserve">package (Lind &amp; Mehlum, 2010) for the inverted-U test; the 5,000-replication bootstrap for the turning-point confidence interval uses a fixed seed (12345) to ensure replicability.</w:t>
      </w:r>
    </w:p>
    <w:bookmarkEnd w:id="44"/>
    <w:bookmarkEnd w:id="45"/>
    <w:bookmarkStart w:id="57" w:name="X121719332867ee227f0a04b486098cee978c6e6"/>
    <w:p>
      <w:pPr>
        <w:pStyle w:val="Heading2"/>
      </w:pPr>
      <w:r>
        <w:t xml:space="preserve">4 Results</w:t>
      </w:r>
    </w:p>
    <w:bookmarkStart w:id="46"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46"/>
    <w:bookmarkStart w:id="47"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whereas the squared term is negative and only marginally significant.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H4 rather than constituting a failure of the inverted-U framework.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47"/>
    <w:bookmarkStart w:id="48" w:name="Xbd081e7d38ad07e1e46d233e5fbc3c3c47a4f64"/>
    <w:p>
      <w:pPr>
        <w:pStyle w:val="Heading3"/>
      </w:pPr>
      <w:r>
        <w:t xml:space="preserve">4.3 TCI results</w:t>
      </w:r>
    </w:p>
    <w:p>
      <w:pPr>
        <w:pStyle w:val="FirstParagraph"/>
      </w:pPr>
      <w:r>
        <w:t xml:space="preserve">The direct-effect model for technological capability (Model M5) shows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48"/>
    <w:bookmarkStart w:id="55"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(β = 0.104, SE = 0.038, p = .007). However, once TCI is included alongside DAI in Model M7, the DAI coefficient attenuates to β =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and marginal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3.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3.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3 and Figure 2 translate the interaction estimates from Model M8 into substantively interpretable marginal effects across the export-intensity distribution. At FSTS = 0, the marginal effect of DAI is small but positive and marginally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3).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(−β₁/2β₂ on mean-centered FSTS ≈ 77.8%; adding back the sample mean of 0.045 gives ≈ 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t xml:space="preserve"> </w:t>
      </w:r>
      <w:r>
        <w:t xml:space="preserve">Figure 3 visualises the baseline quadratic fit between export intensity and labour productivity. The fitted curve implies a turning point near FSTS = 82 % on the original scale (computed as</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on mean-centred FSTS ≈ 77.8 %, plus the sample mean 0.045), but the point estimate is loosely identified, its 95 % percentile bootstrap confidence interval spans [53 %, 253 %], and lies in a sparsely populated upper tail of the sample. The Lind–Mehlum test does not formally confirm a conventional inverted-U at standard significance levels. The appropriate interpretation is therefore not that the classic nonlinear literature is overturned, but that in this Singapore sample the right-side decline of the curve appears attenuated or shifted beyond the export range occupied by most firms in the data.</w:t>
      </w:r>
    </w:p>
    <w:bookmarkEnd w:id="55"/>
    <w:bookmarkStart w:id="56" w:name="Xc8e997e14555d7ba8da5c1d596c5311617447cd"/>
    <w:p>
      <w:pPr>
        <w:pStyle w:val="Heading3"/>
      </w:pPr>
      <w:r>
        <w:t xml:space="preserve">4.5 Robustness checks</w:t>
      </w:r>
    </w:p>
    <w:p>
      <w:pPr>
        <w:pStyle w:val="FirstParagraph"/>
      </w:pPr>
      <w:r>
        <w:t xml:space="preserve">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These effect sizes reinforce a cautious interpretation. A formal power analysis underscores the implication: at f²=0.018 with α=.05 and one numerator degree of freedom, achieving 80% power requires approximately N &gt; 430 (computed from standard power-analysis formulae for multiple regression; cf. Cohen, 1988, pp. 407–414). The full analytic sample (N=617) is adequate for this level, but the exporters-only subsample (N=84) is substantially underpowered for effects of this magnitude, power at N=84 and f²=0.018 is approximately 16%. This means that null DAI moderation results in the exporters-only specification should not be interpreted as evidence against the conditional-scaling mechanism, but as a reflection of inadequate sample size for detecting the small effect implied by the full-sample estimates. The significant exporters-only result reported in the robustness checks (Section 4.5 R5: β=+2.821, joint F p=.003) is therefore a stronger positive signal than its marginal sample size would ordinarily support, and should be interpreted cautiously despite its statistical significance.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significant (F=6.32, p=.003), though individual coefficient precision is reduced by the small exporter sample. This supports the conditional scaling interpretation but should be read cautiously given thin support in the upper tail. (ii)</w:t>
      </w:r>
      <w:r>
        <w:t xml:space="preserve"> </w:t>
      </w:r>
      <w:r>
        <w:rPr>
          <w:iCs/>
          <w:i/>
        </w:rPr>
        <w:t xml:space="preserve">Export participation selection</w:t>
      </w:r>
      <w:r>
        <w:t xml:space="preserve">: a Heckman two-step correction was explored, but no instrument satisfying the exclusion restriction for export participation could be identified in the single-wave Singapore design, cross-sectional variation in trade costs or export-promotion eligibility is not available in WBES 2023 Singapore. As a reduced-form sensitivity check, we estimated a first-stage probit of export participation on observable firm characteristics (age, log size, sector fixed effects, and WBES sampling stratum) and added the resulting inverse Mills ratio (IMR) as a covariate in the M8 specification. The IMR enters with marginal significance (β = 0.264, SE = 0.138, t = 1.92, p = .055), indicating mild selection at the extensive margin of export participation. The key DAI×</w:t>
      </w:r>
      <m:oMath>
        <m:sSup>
          <m:e>
            <m:r>
              <m:rPr>
                <m:sty m:val="p"/>
              </m:rPr>
              <m:t>F</m:t>
            </m:r>
            <m:r>
              <m:rPr>
                <m:sty m:val="p"/>
              </m:rPr>
              <m:t>S</m:t>
            </m:r>
            <m:r>
              <m:rPr>
                <m:sty m:val="p"/>
              </m:rPr>
              <m:t>T</m:t>
            </m:r>
            <m:r>
              <m:rPr>
                <m:sty m:val="p"/>
              </m:rPr>
              <m:t>S</m:t>
            </m:r>
          </m:e>
          <m:sup>
            <m:r>
              <m:t>2</m:t>
            </m:r>
          </m:sup>
        </m:sSup>
      </m:oMath>
      <w:r>
        <w:t xml:space="preserve"> </w:t>
      </w:r>
      <w:r>
        <w:t xml:space="preserve">interaction (H4) and the TCI coefficient are not materially altered (|Δ| &lt; 0.02 in each case), confirming that the digital complementarity mechanism is robust to this selection correction. The baseline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level coefficients attenuate substantially when the IMR is included, consistent with selection partially confounding the overall level of the I–P relationship rather than its contingent digital moderation pattern. Consistent with Wolfolds and Siegel (2019), the OLS estimates are reported as the primary specification with the caveat that selection on unobservables cannot be fully excluded from the single-wave cross-sectional design. (iii)</w:t>
      </w:r>
      <w:r>
        <w:t xml:space="preserve"> </w:t>
      </w:r>
      <w:r>
        <w:rPr>
          <w:iCs/>
          <w:i/>
        </w:rPr>
        <w:t xml:space="preserve">Tobit alternative</w:t>
      </w:r>
      <w:r>
        <w:t xml:space="preserve">: because FSTS is bounded on [0,1], a Tobit specification (censored at 0) was estimated as a robustness check; the positive quadratic DAI interaction retains its sign and direction, consistent with the OLS results reported in Table 4.</w:t>
      </w:r>
      <w:r>
        <w:t xml:space="preserve"> </w:t>
      </w:r>
      <w:r>
        <w:t xml:space="preserve">Table 4.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4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56"/>
    <w:bookmarkEnd w:id="57"/>
    <w:bookmarkStart w:id="60" w:name="X735612638e4e736e4693e459c258977262c0dfc"/>
    <w:p>
      <w:pPr>
        <w:pStyle w:val="Heading2"/>
      </w:pPr>
      <w:r>
        <w:t xml:space="preserve">5 Discussion</w:t>
      </w:r>
    </w:p>
    <w:bookmarkStart w:id="58" w:name="X027b31c2d090a00917aa7291770680fd40b64cd"/>
    <w:p>
      <w:pPr>
        <w:pStyle w:val="Heading3"/>
      </w:pPr>
      <w:r>
        <w:t xml:space="preserve">5.1 Theoretical implications</w:t>
      </w:r>
    </w:p>
    <w:p>
      <w:pPr>
        <w:pStyle w:val="FirstParagraph"/>
      </w:pP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it also underscores that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Framed as a</w:t>
      </w:r>
      <w:r>
        <w:t xml:space="preserve"> </w:t>
      </w:r>
      <w:r>
        <w:rPr>
          <w:iCs/>
          <w:i/>
        </w:rPr>
        <w:t xml:space="preserve">fixed-transaction-cost amortization</w:t>
      </w:r>
      <w:r>
        <w:t xml:space="preserve"> </w:t>
      </w:r>
      <w:r>
        <w:t xml:space="preserve">logic, the sunk fixed cost of installing advanced digital interfaces is recovered only at extreme export scale; this is one reason the implied turning point is pushed into the high-FSTS tail (≈82%) rather than the conventional 30–60% range (a support-constrained estimate, not a precise threshold). In this role DAI operates as a</w:t>
      </w:r>
      <w:r>
        <w:t xml:space="preserve"> </w:t>
      </w:r>
      <w:r>
        <w:rPr>
          <w:iCs/>
          <w:i/>
        </w:rPr>
        <w:t xml:space="preserve">scale lubricant</w:t>
      </w:r>
      <w:r>
        <w:t xml:space="preserve"> </w:t>
      </w:r>
      <w:r>
        <w:t xml:space="preserve">that lowers the marginal coordination cost of each additional unit of cross-border throughput, rather than as a uniform firm-wide premium. The absence of a uniform DAI premium across the full sample is itself theoretically informative: in an environment where Tier 1–2 digital tools are near-universally diffused, these tools cannot generate cross-sectional productivity advantages in domestic operations, consistent with the digital saturation paradox outlined in the introduction. Their measurable return surfaces only when the scaling demands of high export intensity justify intensive use of digital interfaces and transaction systems.</w:t>
      </w:r>
    </w:p>
    <w:p>
      <w:pPr>
        <w:pStyle w:val="BodyText"/>
      </w:pPr>
      <w:r>
        <w:t xml:space="preserve">Three candidate mechanisms can account for the observed conditional pattern, and the present cross-section design allows the evidence to be classified but not causally adjudicated. A</w:t>
      </w:r>
      <w:r>
        <w:t xml:space="preserve"> </w:t>
      </w:r>
      <w:r>
        <w:rPr>
          <w:iCs/>
          <w:i/>
        </w:rPr>
        <w:t xml:space="preserve">substitution</w:t>
      </w:r>
      <w:r>
        <w:t xml:space="preserve"> </w:t>
      </w:r>
      <w:r>
        <w:t xml:space="preserve">mechanism would predict that digital adoption compensates for weaker alternative coordination resources at high export intensity, reducing per-unit coordination cost and thereby raising productivity among high-intensity exporters. An</w:t>
      </w:r>
      <w:r>
        <w:t xml:space="preserve"> </w:t>
      </w:r>
      <w:r>
        <w:rPr>
          <w:iCs/>
          <w:i/>
        </w:rPr>
        <w:t xml:space="preserve">amplification</w:t>
      </w:r>
      <w:r>
        <w:t xml:space="preserve"> </w:t>
      </w:r>
      <w:r>
        <w:t xml:space="preserve">mechanism, by contrast, would predict that digital adoption raises the marginal productivity return to each unit of export intensity, effectively rotating the I–P curve upward for high-DAI firms rather than merely shifting it. The positive quadratic interaction (β=+3.119, p=.005) fits amplification most closely: DAI specifically elevates productivity in the high-export tail where cross-border coordination demands are densest, and the positive quadratic form implies that DAI's productivity contribution accelerates rather than merely shifts with export intensity. The remaining candidate, a</w:t>
      </w:r>
      <w:r>
        <w:t xml:space="preserve"> </w:t>
      </w:r>
      <w:r>
        <w:rPr>
          <w:iCs/>
          <w:i/>
        </w:rPr>
        <w:t xml:space="preserve">selection</w:t>
      </w:r>
      <w:r>
        <w:t xml:space="preserve"> </w:t>
      </w:r>
      <w:r>
        <w:t xml:space="preserve">mechanism, would predict that inherently more productive firms simultaneously select into high digital adoption and high export intensity, producing a spurious interaction in cross-sectional data. The robustness of the positive quadratic interaction across sample restrictions and indicator-sensitivity diagnostics is inconsistent with a pure selection story, though the absence of an instrument for digital adoption means selection cannot be fully ruled out. The most parsimonious reading, then, is that the Singapore evidence is consistent with amplification as the primary mechanism, with the caveat that the selection confound cannot be excluded without stronger causal identification.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Construct-scope note.</w:t>
      </w:r>
      <w:r>
        <w:t xml:space="preserve"> </w:t>
      </w:r>
      <w:r>
        <w:t xml:space="preserve">The DAI construct in this paper (Tier 1+2: website presence c22b + electronic payment intensity k33/k38) is comparatively comprehensive: it combines a Tier 1 digital-presence binary with Tier 2 transaction-enabling indicators. In contexts where only the Tier 1 binary is available, the contingent digital-complementarity mechanism would be expected to be harder to detect because Tier 1 indicators saturate faster than Tier 2 transaction-volume indicators. The positive quadratic interaction documented here (β = +3.119, p = .005) reflects the discriminatory power that Tier 2 e-payment intensity contributes to the composite. The present findings document the Advanced end of the institutional spectrum, where this conditional digital-complementarity mechanism is most legible because domestic Tier 1 saturation removes a confounding uniform-premium effect.</w:t>
      </w:r>
    </w:p>
    <w:bookmarkEnd w:id="58"/>
    <w:bookmarkStart w:id="59"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for all firms equally.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59"/>
    <w:bookmarkEnd w:id="60"/>
    <w:bookmarkStart w:id="61"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shows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61"/>
    <w:bookmarkStart w:id="62" w:name="X422fdd10c3908fe492ea939b97371c73422dbba"/>
    <w:p>
      <w:pPr>
        <w:pStyle w:val="Heading2"/>
      </w:pPr>
      <w:r>
        <w:t xml:space="preserve">7 Limitations and Future Research</w:t>
      </w:r>
    </w:p>
    <w:p>
      <w:pPr>
        <w:pStyle w:val="FirstParagraph"/>
      </w:pP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62"/>
    <w:bookmarkStart w:id="64"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63">
        <w:r>
          <w:rPr>
            <w:rStyle w:val="Hyperlink"/>
          </w:rPr>
          <w:t xml:space="preserve">https://www.enterprisesurveys.org</w:t>
        </w:r>
      </w:hyperlink>
      <w:r>
        <w:t xml:space="preserve">. Analysis scripts to replicate the results are available from the corresponding author on reasonable request.</w:t>
      </w:r>
    </w:p>
    <w:p>
      <w:r>
        <w:pict>
          <v:rect style="width:0;height:1.5pt" o:hralign="center" o:hrstd="t" o:hr="t"/>
        </w:pict>
      </w:r>
    </w:p>
    <w:bookmarkEnd w:id="64"/>
    <w:bookmarkStart w:id="9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w:t>
      </w:r>
      <w:r>
        <w:t xml:space="preserve"> </w:t>
      </w:r>
      <w:hyperlink r:id="rId65">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w:t>
      </w:r>
      <w:r>
        <w:t xml:space="preserve"> </w:t>
      </w:r>
      <w:hyperlink r:id="rId66">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w:t>
      </w:r>
      <w:r>
        <w:t xml:space="preserve"> </w:t>
      </w:r>
      <w:hyperlink r:id="rId67">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w:t>
      </w:r>
      <w:r>
        <w:t xml:space="preserve"> </w:t>
      </w:r>
      <w:hyperlink r:id="rId68">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w:t>
      </w:r>
      <w:r>
        <w:t xml:space="preserve"> </w:t>
      </w:r>
      <w:hyperlink r:id="rId69">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w:t>
      </w:r>
      <w:r>
        <w:t xml:space="preserve"> </w:t>
      </w:r>
      <w:hyperlink r:id="rId70">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w:t>
      </w:r>
      <w:r>
        <w:t xml:space="preserve"> </w:t>
      </w:r>
      <w:hyperlink r:id="rId71">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w:t>
      </w:r>
      <w:r>
        <w:t xml:space="preserve"> </w:t>
      </w:r>
      <w:hyperlink r:id="rId72">
        <w:r>
          <w:rPr>
            <w:rStyle w:val="Hyperlink"/>
          </w:rPr>
          <w:t xml:space="preserve">https://doi.org/10.2307/2393553</w:t>
        </w:r>
      </w:hyperlink>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w:t>
      </w:r>
      <w:r>
        <w:t xml:space="preserve"> </w:t>
      </w:r>
      <w:hyperlink r:id="rId73">
        <w:r>
          <w:rPr>
            <w:rStyle w:val="Hyperlink"/>
          </w:rPr>
          <w:t xml:space="preserve">https://doi.org/10.1111/j.1468-0335.1937.tb00002.x</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w:t>
      </w:r>
      <w:r>
        <w:t xml:space="preserve"> </w:t>
      </w:r>
      <w:hyperlink r:id="rId74">
        <w:r>
          <w:rPr>
            <w:rStyle w:val="Hyperlink"/>
          </w:rPr>
          <w:t xml:space="preserve">https://doi.org/10.1016/j.jbusres.2008.01.013</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w:t>
      </w:r>
      <w:r>
        <w:t xml:space="preserve"> </w:t>
      </w:r>
      <w:hyperlink r:id="rId75">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w:t>
      </w:r>
      <w:r>
        <w:t xml:space="preserve"> </w:t>
      </w:r>
      <w:hyperlink r:id="rId76">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w:t>
      </w:r>
      <w:r>
        <w:t xml:space="preserve"> </w:t>
      </w:r>
      <w:hyperlink r:id="rId77">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w:t>
      </w:r>
      <w:r>
        <w:t xml:space="preserve"> </w:t>
      </w:r>
      <w:hyperlink r:id="rId78">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w:t>
      </w:r>
      <w:r>
        <w:t xml:space="preserve"> </w:t>
      </w:r>
      <w:hyperlink r:id="rId79">
        <w:r>
          <w:rPr>
            <w:rStyle w:val="Hyperlink"/>
          </w:rPr>
          <w:t xml:space="preserve">https://doi.org/10.1016/j.ibusrev.2017.07.003</w:t>
        </w:r>
      </w:hyperlink>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w:t>
      </w:r>
      <w:r>
        <w:t xml:space="preserve"> </w:t>
      </w:r>
      <w:hyperlink r:id="rId80">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w:t>
      </w:r>
      <w:r>
        <w:t xml:space="preserve"> </w:t>
      </w:r>
      <w:hyperlink r:id="rId81">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w:t>
      </w:r>
      <w:r>
        <w:t xml:space="preserve"> </w:t>
      </w:r>
      <w:hyperlink r:id="rId82">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w:t>
      </w:r>
      <w:r>
        <w:t xml:space="preserve"> </w:t>
      </w:r>
      <w:hyperlink r:id="rId83">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w:t>
      </w:r>
      <w:r>
        <w:t xml:space="preserve"> </w:t>
      </w:r>
      <w:hyperlink r:id="rId84">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w:t>
      </w:r>
      <w:r>
        <w:t xml:space="preserve"> </w:t>
      </w:r>
      <w:hyperlink r:id="rId85">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w:t>
      </w:r>
      <w:r>
        <w:t xml:space="preserve"> </w:t>
      </w:r>
      <w:hyperlink r:id="rId86">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w:t>
      </w:r>
      <w:r>
        <w:t xml:space="preserve"> </w:t>
      </w:r>
      <w:hyperlink r:id="rId87">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w:t>
      </w:r>
      <w:r>
        <w:t xml:space="preserve"> </w:t>
      </w:r>
      <w:hyperlink r:id="rId88">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w:t>
      </w:r>
      <w:r>
        <w:t xml:space="preserve"> </w:t>
      </w:r>
      <w:hyperlink r:id="rId89">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w:t>
      </w:r>
      <w:r>
        <w:t xml:space="preserve"> </w:t>
      </w:r>
      <w:hyperlink r:id="rId90">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w:t>
      </w:r>
      <w:r>
        <w:t xml:space="preserve"> </w:t>
      </w:r>
      <w:hyperlink r:id="rId91">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w:t>
      </w:r>
      <w:r>
        <w:t xml:space="preserve"> </w:t>
      </w:r>
      <w:hyperlink r:id="rId92">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w:t>
      </w:r>
      <w:r>
        <w:t xml:space="preserve"> </w:t>
      </w:r>
      <w:hyperlink r:id="rId93">
        <w:r>
          <w:rPr>
            <w:rStyle w:val="Hyperlink"/>
          </w:rPr>
          <w:t xml:space="preserve">https://doi.org/10.1002/smj.2995</w:t>
        </w:r>
      </w:hyperlink>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w:t>
      </w:r>
      <w:r>
        <w:t xml:space="preserve"> </w:t>
      </w:r>
      <w:hyperlink r:id="rId63">
        <w:r>
          <w:rPr>
            <w:rStyle w:val="Hyperlink"/>
          </w:rPr>
          <w:t xml:space="preserve">https://www.enterprisesurveys.org</w:t>
        </w:r>
      </w:hyperlink>
    </w:p>
    <w:bookmarkEnd w:id="94"/>
    <w:bookmarkEnd w:id="9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2026-05-27T02:14:07Z</dcterms:created>
  <dcterms:modified xsi:type="dcterms:W3CDTF">2026-05-27T02:14:07Z</dcterms:modified>
</cp:coreProperties>
</file>

<file path=docProps/custom.xml><?xml version="1.0" encoding="utf-8"?>
<Properties xmlns="http://schemas.openxmlformats.org/officeDocument/2006/custom-properties" xmlns:vt="http://schemas.openxmlformats.org/officeDocument/2006/docPropsVTypes"/>
</file>