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0.png" ContentType="image/png"/>
  <Override PartName="/word/media/rId27.png" ContentType="image/png"/>
  <Override PartName="/word/media/rId42.png" ContentType="image/png"/>
  <Override PartName="/word/media/rId36.png" ContentType="image/png"/>
  <Override PartName="/word/media/rId4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X26e67f3ad01549bdfbc4c8732118186d6b9081c"/>
    <w:p>
      <w:pPr>
        <w:pStyle w:val="Heading1"/>
      </w:pPr>
      <w:r>
        <w:t xml:space="preserve">CHUYÊN ĐỀ TIẾN SĨ SỐ 1 — BẢN NHÁP ĐẦY ĐỦ (PHẦN 2: CHƯƠNG 4 — THỰC TRẠNG TỪ WBES)</w:t>
      </w:r>
    </w:p>
    <w:p>
      <w:pPr>
        <w:pStyle w:val="BlockText"/>
      </w:pPr>
      <w:r>
        <w:t xml:space="preserve">Tiếp nối</w:t>
      </w:r>
      <w:r>
        <w:t xml:space="preserve"> </w:t>
      </w:r>
      <w:r>
        <w:rPr>
          <w:rStyle w:val="VerbatimChar"/>
        </w:rPr>
        <w:t xml:space="preserve">thesis/14_cd1_part1_intro_theory_vi.md</w:t>
      </w:r>
      <w:r>
        <w:t xml:space="preserve">.</w:t>
      </w:r>
      <w:r>
        <w:t xml:space="preserve"> </w:t>
      </w:r>
      <w:r>
        <w:t xml:space="preserve">Phần 3 (Chương 5–7 + TLTK):</w:t>
      </w:r>
      <w:r>
        <w:t xml:space="preserve"> </w:t>
      </w:r>
      <w:r>
        <w:rPr>
          <w:rStyle w:val="VerbatimChar"/>
        </w:rPr>
        <w:t xml:space="preserve">thesis/16_cd1_part3_cases_conclusion_vi.md</w:t>
      </w:r>
      <w:r>
        <w:t xml:space="preserve">.</w:t>
      </w:r>
      <w:r>
        <w:t xml:space="preserve"> </w:t>
      </w:r>
      <w:r>
        <w:t xml:space="preserve">Bảng thuật ngữ Anh-Việt:</w:t>
      </w:r>
      <w:r>
        <w:t xml:space="preserve"> </w:t>
      </w:r>
      <w:r>
        <w:rPr>
          <w:rStyle w:val="VerbatimChar"/>
        </w:rPr>
        <w:t xml:space="preserve">thesis/09b_vn_term_glossary.md</w:t>
      </w:r>
      <w:r>
        <w:t xml:space="preserve">.</w:t>
      </w:r>
      <w:r>
        <w:t xml:space="preserve"> </w:t>
      </w:r>
      <w:r>
        <w:t xml:space="preserve">Hình minh họa:</w:t>
      </w:r>
      <w:r>
        <w:t xml:space="preserve"> </w:t>
      </w:r>
      <w:r>
        <w:rPr>
          <w:rStyle w:val="VerbatimChar"/>
        </w:rPr>
        <w:t xml:space="preserve">thesis/figures/</w:t>
      </w:r>
      <w:r>
        <w:t xml:space="preserve"> </w:t>
      </w:r>
      <w:r>
        <w:t xml:space="preserve">(</w:t>
      </w:r>
      <w:r>
        <w:rPr>
          <w:bCs/>
          <w:b/>
        </w:rPr>
        <w:t xml:space="preserve">11 hình</w:t>
      </w:r>
      <w:r>
        <w:t xml:space="preserve">; chạy</w:t>
      </w:r>
      <w:r>
        <w:t xml:space="preserve"> </w:t>
      </w:r>
      <w:r>
        <w:rPr>
          <w:rStyle w:val="VerbatimChar"/>
        </w:rPr>
        <w:t xml:space="preserve">python3 generate_figures.py</w:t>
      </w:r>
      <w:r>
        <w:t xml:space="preserve"> </w:t>
      </w:r>
      <w:r>
        <w:t xml:space="preserve">để regen).</w:t>
      </w:r>
    </w:p>
    <w:p>
      <w:r>
        <w:pict>
          <v:rect style="width:0;height:1.5pt" o:hralign="center" o:hrstd="t" o:hr="t"/>
        </w:pict>
      </w:r>
    </w:p>
    <w:bookmarkStart w:id="59" w:name="X7d7445c3e22f444c24f6085672cd03a46e26387"/>
    <w:p>
      <w:pPr>
        <w:pStyle w:val="Heading2"/>
      </w:pPr>
      <w:r>
        <w:t xml:space="preserve">CHƯƠNG 4 — THỰC TRẠNG HIỆU QUẢ DOANH NGHIỆP CHÂU Á 2009–2025</w:t>
      </w:r>
    </w:p>
    <w:bookmarkStart w:id="26" w:name="X47eb90e4cdf5f2f13d93872f397578922bdca81"/>
    <w:p>
      <w:pPr>
        <w:pStyle w:val="Heading3"/>
      </w:pPr>
      <w:r>
        <w:t xml:space="preserve">4.1 Nguồn dữ liệu World Bank Enterprise Surveys</w:t>
      </w:r>
    </w:p>
    <w:p>
      <w:pPr>
        <w:pStyle w:val="FirstParagraph"/>
      </w:pPr>
      <w:r>
        <w:rPr>
          <w:bCs/>
          <w:b/>
        </w:rPr>
        <w:t xml:space="preserve">Phạm vi tổng hợp dữ liệu</w:t>
      </w:r>
      <w:r>
        <w:t xml:space="preserve">. Nhóm dữ liệu (pool) gồm</w:t>
      </w:r>
      <w:r>
        <w:t xml:space="preserve"> </w:t>
      </w:r>
      <w:r>
        <w:rPr>
          <w:bCs/>
          <w:b/>
        </w:rPr>
        <w:t xml:space="preserve">101.185 doanh nghiệp</w:t>
      </w:r>
      <w:r>
        <w:t xml:space="preserve">, 47 nền kinh tế,</w:t>
      </w:r>
      <w:r>
        <w:t xml:space="preserve"> </w:t>
      </w:r>
      <w:r>
        <w:rPr>
          <w:bCs/>
          <w:b/>
        </w:rPr>
        <w:t xml:space="preserve">108 cặp quốc gia × năm</w:t>
      </w:r>
      <w:r>
        <w:t xml:space="preserve">, giai đoạn 2009–2025. Tổng hợp này kế thừa và mở rộng từ 17 nước châu Á mới nổi (~40.633 doanh nghiệp) của Đỗ &amp; Phan (2026 — VEFR), gấp ~2,5 lần. Phân bố theo phân nhóm con (sub-regime) ICRV: Emerging 47.803 (47%), Frontier 28.678 (28%), Upper-middle 16.693 (17%), Advanced 6.640 (7%),</w:t>
      </w:r>
      <w:r>
        <w:t xml:space="preserve"> </w:t>
      </w:r>
      <w:r>
        <w:rPr>
          <w:bCs/>
          <w:b/>
        </w:rPr>
        <w:t xml:space="preserve">SIDS 1.371 (1,4% — gồm Kiribati 2025)</w:t>
      </w:r>
      <w:r>
        <w:t xml:space="preserve">. Có</w:t>
      </w:r>
      <w:r>
        <w:t xml:space="preserve"> </w:t>
      </w:r>
      <w:r>
        <w:rPr>
          <w:bCs/>
          <w:b/>
        </w:rPr>
        <w:t xml:space="preserve">14 đợt khảo sát năm 2025</w:t>
      </w:r>
      <w:r>
        <w:t xml:space="preserve"> </w:t>
      </w:r>
      <w:r>
        <w:t xml:space="preserve">với 16.979 doanh nghiệp.</w:t>
      </w:r>
    </w:p>
    <w:p>
      <w:pPr>
        <w:pStyle w:val="BodyText"/>
      </w:pPr>
      <w:r>
        <w:drawing>
          <wp:inline>
            <wp:extent cx="5753100" cy="3141580"/>
            <wp:effectExtent b="0" l="0" r="0" t="0"/>
            <wp:docPr descr="Hình 4.1.1 — Phân bố pool 5 phân nhóm con thể chế (n=101.185 doanh nghiệp)" title="" id="21" name="Picture"/>
            <a:graphic>
              <a:graphicData uri="http://schemas.openxmlformats.org/drawingml/2006/picture">
                <pic:pic>
                  <pic:nvPicPr>
                    <pic:cNvPr descr="figures/fig_4_1_pool_composition.png" id="22" name="Picture"/>
                    <pic:cNvPicPr>
                      <a:picLocks noChangeArrowheads="1" noChangeAspect="1"/>
                    </pic:cNvPicPr>
                  </pic:nvPicPr>
                  <pic:blipFill>
                    <a:blip r:embed="rId20"/>
                    <a:stretch>
                      <a:fillRect/>
                    </a:stretch>
                  </pic:blipFill>
                  <pic:spPr bwMode="auto">
                    <a:xfrm>
                      <a:off x="0" y="0"/>
                      <a:ext cx="5753100" cy="3141580"/>
                    </a:xfrm>
                    <a:prstGeom prst="rect">
                      <a:avLst/>
                    </a:prstGeom>
                    <a:noFill/>
                    <a:ln w="9525">
                      <a:noFill/>
                      <a:headEnd/>
                      <a:tailEnd/>
                    </a:ln>
                  </pic:spPr>
                </pic:pic>
              </a:graphicData>
            </a:graphic>
          </wp:inline>
        </w:drawing>
      </w:r>
    </w:p>
    <w:p>
      <w:pPr>
        <w:pStyle w:val="BodyText"/>
      </w:pPr>
      <w:r>
        <w:rPr>
          <w:iCs/>
          <w:i/>
        </w:rPr>
        <w:t xml:space="preserve">Hình 4.1.1. Bar chart phân bố theo 5 phân nhóm con: Emerging (47.803, 47,2%), Frontier (28.678, 28,3%), Upper-middle (16.693, 16,5%), Advanced (6.640, 6,6%), SIDS Thái Bình Dương (1.371, 1,4%, gồm Kiribati 2025). Tái lập:</w:t>
      </w:r>
      <w:r>
        <w:rPr>
          <w:iCs/>
          <w:i/>
        </w:rPr>
        <w:t xml:space="preserve"> </w:t>
      </w:r>
      <w:r>
        <w:rPr>
          <w:rStyle w:val="VerbatimChar"/>
          <w:iCs/>
          <w:i/>
        </w:rPr>
        <w:t xml:space="preserve">thesis/figures/generate_figures.py</w:t>
      </w:r>
      <w:r>
        <w:rPr>
          <w:iCs/>
          <w:i/>
        </w:rPr>
        <w:t xml:space="preserve"> </w:t>
      </w:r>
      <w:r>
        <w:rPr>
          <w:iCs/>
          <w:i/>
        </w:rPr>
        <w:t xml:space="preserve">function</w:t>
      </w:r>
      <w:r>
        <w:rPr>
          <w:iCs/>
          <w:i/>
        </w:rPr>
        <w:t xml:space="preserve"> </w:t>
      </w:r>
      <w:r>
        <w:rPr>
          <w:rStyle w:val="VerbatimChar"/>
          <w:iCs/>
          <w:i/>
        </w:rPr>
        <w:t xml:space="preserve">fig_4_1_pool_composition()</w:t>
      </w:r>
      <w:r>
        <w:rPr>
          <w:iCs/>
          <w:i/>
        </w:rPr>
        <w:t xml:space="preserve">.</w:t>
      </w:r>
    </w:p>
    <w:p>
      <w:pPr>
        <w:pStyle w:val="BodyText"/>
      </w:pPr>
      <w:r>
        <w:drawing>
          <wp:inline>
            <wp:extent cx="5753100" cy="2577276"/>
            <wp:effectExtent b="0" l="0" r="0" t="0"/>
            <wp:docPr descr="Hình 4.0 — Phân bố mẫu 101.185 doanh nghiệp xuyên 17 năm (2009–2025) theo 3 thế hệ schema WBES" title="" id="24" name="Picture"/>
            <a:graphic>
              <a:graphicData uri="http://schemas.openxmlformats.org/drawingml/2006/picture">
                <pic:pic>
                  <pic:nvPicPr>
                    <pic:cNvPr descr="figures/fig_4_0_pool_by_year.png" id="25" name="Picture"/>
                    <pic:cNvPicPr>
                      <a:picLocks noChangeArrowheads="1" noChangeAspect="1"/>
                    </pic:cNvPicPr>
                  </pic:nvPicPr>
                  <pic:blipFill>
                    <a:blip r:embed="rId23"/>
                    <a:stretch>
                      <a:fillRect/>
                    </a:stretch>
                  </pic:blipFill>
                  <pic:spPr bwMode="auto">
                    <a:xfrm>
                      <a:off x="0" y="0"/>
                      <a:ext cx="5753100" cy="2577276"/>
                    </a:xfrm>
                    <a:prstGeom prst="rect">
                      <a:avLst/>
                    </a:prstGeom>
                    <a:noFill/>
                    <a:ln w="9525">
                      <a:noFill/>
                      <a:headEnd/>
                      <a:tailEnd/>
                    </a:ln>
                  </pic:spPr>
                </pic:pic>
              </a:graphicData>
            </a:graphic>
          </wp:inline>
        </w:drawing>
      </w:r>
    </w:p>
    <w:p>
      <w:pPr>
        <w:pStyle w:val="BodyText"/>
      </w:pPr>
      <w:r>
        <w:rPr>
          <w:iCs/>
          <w:i/>
        </w:rPr>
        <w:t xml:space="preserve">Hình 4.0. Phân bố mẫu doanh nghiệp xuyên 17 năm theo 3 thế hệ schema WBES: PICS3 (2009-2012, n=14.171), Standardized (2013-2017, n=24.564), BREADY (2018-2025, n=62.450 gồm Kiribati 2025). Đợt 2025 đột biến với 16.979 doanh nghiệp = 16,8% pool — đợt khảo sát đơn năm lớn nhất. Tái lập:</w:t>
      </w:r>
      <w:r>
        <w:rPr>
          <w:iCs/>
          <w:i/>
        </w:rPr>
        <w:t xml:space="preserve"> </w:t>
      </w:r>
      <w:r>
        <w:rPr>
          <w:rStyle w:val="VerbatimChar"/>
          <w:iCs/>
          <w:i/>
        </w:rPr>
        <w:t xml:space="preserve">generate_figures.py</w:t>
      </w:r>
      <w:r>
        <w:rPr>
          <w:iCs/>
          <w:i/>
        </w:rPr>
        <w:t xml:space="preserve"> </w:t>
      </w:r>
      <w:r>
        <w:rPr>
          <w:iCs/>
          <w:i/>
        </w:rPr>
        <w:t xml:space="preserve">function</w:t>
      </w:r>
      <w:r>
        <w:rPr>
          <w:iCs/>
          <w:i/>
        </w:rPr>
        <w:t xml:space="preserve"> </w:t>
      </w:r>
      <w:r>
        <w:rPr>
          <w:rStyle w:val="VerbatimChar"/>
          <w:iCs/>
          <w:i/>
        </w:rPr>
        <w:t xml:space="preserve">fig_4_0_pool_by_year()</w:t>
      </w:r>
      <w:r>
        <w:rPr>
          <w:iCs/>
          <w:i/>
        </w:rPr>
        <w:t xml:space="preserve">.</w:t>
      </w:r>
    </w:p>
    <w:p>
      <w:pPr>
        <w:pStyle w:val="BodyText"/>
      </w:pPr>
      <w:r>
        <w:rPr>
          <w:bCs/>
          <w:b/>
        </w:rPr>
        <w:t xml:space="preserve">Trường hợp biên (boundary cases)</w:t>
      </w:r>
      <w:r>
        <w:t xml:space="preserve">:</w:t>
      </w:r>
      <w:r>
        <w:t xml:space="preserve"> </w:t>
      </w:r>
      <w:r>
        <w:rPr>
          <w:bCs/>
          <w:b/>
        </w:rPr>
        <w:t xml:space="preserve">7 SIDS Thái Bình Dương đầy đủ (FJI, PNG, SLB, TON, VUT, WSM, KIR)</w:t>
      </w:r>
      <w:r>
        <w:t xml:space="preserve"> </w:t>
      </w:r>
      <w:r>
        <w:t xml:space="preserve">+ Tây Á 9 nước. Phân bố thời gian: 2009–2012 (n=14.171), 2013–2017 (n=24.564), 2018–2025 (n=62.450, chiếm 62%). Ba thế hệ khung dữ liệu (schema): PICS3/MENA-WBES, Standardized, Standardized2018+/BREADY.</w:t>
      </w:r>
    </w:p>
    <w:p>
      <w:pPr>
        <w:pStyle w:val="BodyText"/>
      </w:pPr>
      <w:r>
        <w:rPr>
          <w:bCs/>
          <w:b/>
        </w:rPr>
        <w:t xml:space="preserve">Hài hòa</w:t>
      </w:r>
      <w:r>
        <w:t xml:space="preserve">. Pipeline Python (</w:t>
      </w:r>
      <w:r>
        <w:rPr>
          <w:rStyle w:val="VerbatimChar"/>
        </w:rPr>
        <w:t xml:space="preserve">wbes/02_harmonize.py</w:t>
      </w:r>
      <w:r>
        <w:t xml:space="preserve">); FSTS =</w:t>
      </w:r>
      <w:r>
        <w:t xml:space="preserve"> </w:t>
      </w:r>
      <w:r>
        <w:rPr>
          <w:rStyle w:val="VerbatimChar"/>
        </w:rPr>
        <w:t xml:space="preserve">d3b + d3c</w:t>
      </w:r>
      <w:r>
        <w:t xml:space="preserve">; giới hạn cực trị (winsorize) log năng suất ở mức 1/99 phân vị trong cụm quốc gia × năm. Doanh thu chưa quy đổi sang USD PPP.</w:t>
      </w:r>
    </w:p>
    <w:bookmarkEnd w:id="26"/>
    <w:bookmarkStart w:id="30" w:name="Xc2c0ca7aa2dfd6cdea26525f5c28f977cd7a4b9"/>
    <w:p>
      <w:pPr>
        <w:pStyle w:val="Heading3"/>
      </w:pPr>
      <w:r>
        <w:t xml:space="preserve">4.2 Thực trạng năng suất lao động — phân tán trong từng quốc gia</w:t>
      </w:r>
    </w:p>
    <w:p>
      <w:pPr>
        <w:pStyle w:val="FirstParagraph"/>
      </w:pPr>
      <w:r>
        <w:rPr>
          <w:bCs/>
          <w:b/>
        </w:rPr>
        <w:t xml:space="preserve">Bảng 4.1</w:t>
      </w:r>
      <w:r>
        <w:t xml:space="preserve">.</w:t>
      </w:r>
      <w:r>
        <w:t xml:space="preserve"> </w:t>
      </w:r>
      <w:r>
        <w:rPr>
          <w:iCs/>
          <w:i/>
        </w:rPr>
        <w:t xml:space="preserve">Phân tán (dispersion) năng suất lao động theo phân nhóm con thể chế (n=108 cặp QG×năm — v3.1).</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Phân nhóm con</w:t>
            </w:r>
          </w:p>
        </w:tc>
        <w:tc>
          <w:tcPr/>
          <w:p>
            <w:pPr>
              <w:pStyle w:val="Compact"/>
              <w:jc w:val="left"/>
            </w:pPr>
            <w:r>
              <w:t xml:space="preserve">Cặp QG×năm</w:t>
            </w:r>
          </w:p>
        </w:tc>
        <w:tc>
          <w:tcPr/>
          <w:p>
            <w:pPr>
              <w:pStyle w:val="Compact"/>
              <w:jc w:val="left"/>
            </w:pPr>
            <w:r>
              <w:t xml:space="preserve">n_firms</w:t>
            </w:r>
          </w:p>
        </w:tc>
        <w:tc>
          <w:tcPr/>
          <w:p>
            <w:pPr>
              <w:pStyle w:val="Compact"/>
              <w:jc w:val="left"/>
            </w:pPr>
            <w:r>
              <w:t xml:space="preserve">sd log</w:t>
            </w:r>
          </w:p>
        </w:tc>
        <w:tc>
          <w:tcPr/>
          <w:p>
            <w:pPr>
              <w:pStyle w:val="Compact"/>
              <w:jc w:val="left"/>
            </w:pPr>
            <w:r>
              <w:t xml:space="preserve">P90/P10</w:t>
            </w:r>
          </w:p>
        </w:tc>
        <w:tc>
          <w:tcPr/>
          <w:p>
            <w:pPr>
              <w:pStyle w:val="Compact"/>
              <w:jc w:val="left"/>
            </w:pPr>
            <w:r>
              <w:t xml:space="preserve">P75/P25</w:t>
            </w:r>
          </w:p>
        </w:tc>
      </w:tr>
      <w:tr>
        <w:tc>
          <w:tcPr/>
          <w:p>
            <w:pPr>
              <w:pStyle w:val="Compact"/>
              <w:jc w:val="left"/>
            </w:pPr>
            <w:r>
              <w:rPr>
                <w:bCs/>
                <w:b/>
              </w:rPr>
              <w:t xml:space="preserve">Advanced — innovation-driven</w:t>
            </w:r>
            <w:r>
              <w:t xml:space="preserve"> </w:t>
            </w:r>
            <w:r>
              <w:rPr>
                <w:iCs/>
                <w:i/>
              </w:rPr>
              <w:t xml:space="preserve">(SG, HK, KOR, TWN, ISR)</w:t>
            </w:r>
          </w:p>
        </w:tc>
        <w:tc>
          <w:tcPr/>
          <w:p>
            <w:pPr>
              <w:pStyle w:val="Compact"/>
              <w:jc w:val="left"/>
            </w:pPr>
            <w:r>
              <w:t xml:space="preserve">~8</w:t>
            </w:r>
          </w:p>
        </w:tc>
        <w:tc>
          <w:tcPr/>
          <w:p>
            <w:pPr>
              <w:pStyle w:val="Compact"/>
              <w:jc w:val="left"/>
            </w:pPr>
            <w:r>
              <w:t xml:space="preserve">~4.220</w:t>
            </w:r>
          </w:p>
        </w:tc>
        <w:tc>
          <w:tcPr/>
          <w:p>
            <w:pPr>
              <w:pStyle w:val="Compact"/>
              <w:jc w:val="left"/>
            </w:pPr>
            <w:r>
              <w:rPr>
                <w:bCs/>
                <w:b/>
              </w:rPr>
              <w:t xml:space="preserve">1,03</w:t>
            </w:r>
          </w:p>
        </w:tc>
        <w:tc>
          <w:tcPr/>
          <w:p>
            <w:pPr>
              <w:pStyle w:val="Compact"/>
              <w:jc w:val="left"/>
            </w:pPr>
            <w:r>
              <w:t xml:space="preserve">(cập nhật GĐ1)</w:t>
            </w:r>
          </w:p>
        </w:tc>
        <w:tc>
          <w:tcPr/>
          <w:p>
            <w:pPr>
              <w:pStyle w:val="Compact"/>
              <w:jc w:val="left"/>
            </w:pPr>
            <w:r>
              <w:t xml:space="preserve">(cập nhật GĐ1)</w:t>
            </w:r>
          </w:p>
        </w:tc>
      </w:tr>
      <w:tr>
        <w:tc>
          <w:tcPr/>
          <w:p>
            <w:pPr>
              <w:pStyle w:val="Compact"/>
              <w:jc w:val="left"/>
            </w:pPr>
            <w:r>
              <w:rPr>
                <w:bCs/>
                <w:b/>
              </w:rPr>
              <w:t xml:space="preserve">Advanced — resource-driven</w:t>
            </w:r>
            <w:r>
              <w:t xml:space="preserve"> </w:t>
            </w:r>
            <w:r>
              <w:rPr>
                <w:iCs/>
                <w:i/>
              </w:rPr>
              <w:t xml:space="preserve">(SAU, QAT, KWT, BHR, BRN)</w:t>
            </w:r>
          </w:p>
        </w:tc>
        <w:tc>
          <w:tcPr/>
          <w:p>
            <w:pPr>
              <w:pStyle w:val="Compact"/>
              <w:jc w:val="left"/>
            </w:pPr>
            <w:r>
              <w:t xml:space="preserve">~5</w:t>
            </w:r>
          </w:p>
        </w:tc>
        <w:tc>
          <w:tcPr/>
          <w:p>
            <w:pPr>
              <w:pStyle w:val="Compact"/>
              <w:jc w:val="left"/>
            </w:pPr>
            <w:r>
              <w:t xml:space="preserve">~1.932</w:t>
            </w:r>
          </w:p>
        </w:tc>
        <w:tc>
          <w:tcPr/>
          <w:p>
            <w:pPr>
              <w:pStyle w:val="Compact"/>
              <w:jc w:val="left"/>
            </w:pPr>
            <w:r>
              <w:rPr>
                <w:bCs/>
                <w:b/>
              </w:rPr>
              <w:t xml:space="preserve">0,49</w:t>
            </w:r>
          </w:p>
        </w:tc>
        <w:tc>
          <w:tcPr/>
          <w:p>
            <w:pPr>
              <w:pStyle w:val="Compact"/>
              <w:jc w:val="left"/>
            </w:pPr>
            <w:r>
              <w:t xml:space="preserve">(cập nhật GĐ1)</w:t>
            </w:r>
          </w:p>
        </w:tc>
        <w:tc>
          <w:tcPr/>
          <w:p>
            <w:pPr>
              <w:pStyle w:val="Compact"/>
              <w:jc w:val="left"/>
            </w:pPr>
            <w:r>
              <w:t xml:space="preserve">(cập nhật GĐ1)</w:t>
            </w:r>
          </w:p>
        </w:tc>
      </w:tr>
      <w:tr>
        <w:tc>
          <w:tcPr/>
          <w:p>
            <w:pPr>
              <w:pStyle w:val="Compact"/>
              <w:jc w:val="left"/>
            </w:pPr>
            <w:r>
              <w:rPr>
                <w:iCs/>
                <w:i/>
              </w:rPr>
              <w:t xml:space="preserve">Advanced (gộp — tham chiếu)</w:t>
            </w:r>
          </w:p>
        </w:tc>
        <w:tc>
          <w:tcPr/>
          <w:p>
            <w:pPr>
              <w:pStyle w:val="Compact"/>
              <w:jc w:val="left"/>
            </w:pPr>
            <w:r>
              <w:t xml:space="preserve">13</w:t>
            </w:r>
          </w:p>
        </w:tc>
        <w:tc>
          <w:tcPr/>
          <w:p>
            <w:pPr>
              <w:pStyle w:val="Compact"/>
              <w:jc w:val="left"/>
            </w:pPr>
            <w:r>
              <w:t xml:space="preserve">5.921</w:t>
            </w:r>
          </w:p>
        </w:tc>
        <w:tc>
          <w:tcPr/>
          <w:p>
            <w:pPr>
              <w:pStyle w:val="Compact"/>
              <w:jc w:val="left"/>
            </w:pPr>
            <w:r>
              <w:t xml:space="preserve">0,86</w:t>
            </w:r>
          </w:p>
        </w:tc>
        <w:tc>
          <w:tcPr/>
          <w:p>
            <w:pPr>
              <w:pStyle w:val="Compact"/>
              <w:jc w:val="left"/>
            </w:pPr>
            <w:r>
              <w:t xml:space="preserve">10,8</w:t>
            </w:r>
          </w:p>
        </w:tc>
        <w:tc>
          <w:tcPr/>
          <w:p>
            <w:pPr>
              <w:pStyle w:val="Compact"/>
              <w:jc w:val="left"/>
            </w:pPr>
            <w:r>
              <w:t xml:space="preserve">3,1</w:t>
            </w:r>
          </w:p>
        </w:tc>
      </w:tr>
      <w:tr>
        <w:tc>
          <w:tcPr/>
          <w:p>
            <w:pPr>
              <w:pStyle w:val="Compact"/>
              <w:jc w:val="left"/>
            </w:pPr>
            <w:r>
              <w:t xml:space="preserve">Upper-middle</w:t>
            </w:r>
          </w:p>
        </w:tc>
        <w:tc>
          <w:tcPr/>
          <w:p>
            <w:pPr>
              <w:pStyle w:val="Compact"/>
              <w:jc w:val="left"/>
            </w:pPr>
            <w:r>
              <w:t xml:space="preserve">18</w:t>
            </w:r>
          </w:p>
        </w:tc>
        <w:tc>
          <w:tcPr/>
          <w:p>
            <w:pPr>
              <w:pStyle w:val="Compact"/>
              <w:jc w:val="left"/>
            </w:pPr>
            <w:r>
              <w:t xml:space="preserve">15.174</w:t>
            </w:r>
          </w:p>
        </w:tc>
        <w:tc>
          <w:tcPr/>
          <w:p>
            <w:pPr>
              <w:pStyle w:val="Compact"/>
              <w:jc w:val="left"/>
            </w:pPr>
            <w:r>
              <w:t xml:space="preserve">1,29</w:t>
            </w:r>
          </w:p>
        </w:tc>
        <w:tc>
          <w:tcPr/>
          <w:p>
            <w:pPr>
              <w:pStyle w:val="Compact"/>
              <w:jc w:val="left"/>
            </w:pPr>
            <w:r>
              <w:t xml:space="preserve">27,7</w:t>
            </w:r>
          </w:p>
        </w:tc>
        <w:tc>
          <w:tcPr/>
          <w:p>
            <w:pPr>
              <w:pStyle w:val="Compact"/>
              <w:jc w:val="left"/>
            </w:pPr>
            <w:r>
              <w:t xml:space="preserve">5,4</w:t>
            </w:r>
          </w:p>
        </w:tc>
      </w:tr>
      <w:tr>
        <w:tc>
          <w:tcPr/>
          <w:p>
            <w:pPr>
              <w:pStyle w:val="Compact"/>
              <w:jc w:val="left"/>
            </w:pPr>
            <w:r>
              <w:t xml:space="preserve">Emerging</w:t>
            </w:r>
          </w:p>
        </w:tc>
        <w:tc>
          <w:tcPr/>
          <w:p>
            <w:pPr>
              <w:pStyle w:val="Compact"/>
              <w:jc w:val="left"/>
            </w:pPr>
            <w:r>
              <w:t xml:space="preserve">20</w:t>
            </w:r>
          </w:p>
        </w:tc>
        <w:tc>
          <w:tcPr/>
          <w:p>
            <w:pPr>
              <w:pStyle w:val="Compact"/>
              <w:jc w:val="left"/>
            </w:pPr>
            <w:r>
              <w:t xml:space="preserve">45.388</w:t>
            </w:r>
          </w:p>
        </w:tc>
        <w:tc>
          <w:tcPr/>
          <w:p>
            <w:pPr>
              <w:pStyle w:val="Compact"/>
              <w:jc w:val="left"/>
            </w:pPr>
            <w:r>
              <w:t xml:space="preserve">1,24</w:t>
            </w:r>
          </w:p>
        </w:tc>
        <w:tc>
          <w:tcPr/>
          <w:p>
            <w:pPr>
              <w:pStyle w:val="Compact"/>
              <w:jc w:val="left"/>
            </w:pPr>
            <w:r>
              <w:t xml:space="preserve">30,6</w:t>
            </w:r>
          </w:p>
        </w:tc>
        <w:tc>
          <w:tcPr/>
          <w:p>
            <w:pPr>
              <w:pStyle w:val="Compact"/>
              <w:jc w:val="left"/>
            </w:pPr>
            <w:r>
              <w:t xml:space="preserve">5,1</w:t>
            </w:r>
          </w:p>
        </w:tc>
      </w:tr>
      <w:tr>
        <w:tc>
          <w:tcPr/>
          <w:p>
            <w:pPr>
              <w:pStyle w:val="Compact"/>
              <w:jc w:val="left"/>
            </w:pPr>
            <w:r>
              <w:t xml:space="preserve">Frontier</w:t>
            </w:r>
          </w:p>
        </w:tc>
        <w:tc>
          <w:tcPr/>
          <w:p>
            <w:pPr>
              <w:pStyle w:val="Compact"/>
              <w:jc w:val="left"/>
            </w:pPr>
            <w:r>
              <w:t xml:space="preserve">42</w:t>
            </w:r>
          </w:p>
        </w:tc>
        <w:tc>
          <w:tcPr/>
          <w:p>
            <w:pPr>
              <w:pStyle w:val="Compact"/>
              <w:jc w:val="left"/>
            </w:pPr>
            <w:r>
              <w:t xml:space="preserve">18.877</w:t>
            </w:r>
          </w:p>
        </w:tc>
        <w:tc>
          <w:tcPr/>
          <w:p>
            <w:pPr>
              <w:pStyle w:val="Compact"/>
              <w:jc w:val="left"/>
            </w:pPr>
            <w:r>
              <w:t xml:space="preserve">1,36</w:t>
            </w:r>
          </w:p>
        </w:tc>
        <w:tc>
          <w:tcPr/>
          <w:p>
            <w:pPr>
              <w:pStyle w:val="Compact"/>
              <w:jc w:val="left"/>
            </w:pPr>
            <w:r>
              <w:t xml:space="preserve">39,6</w:t>
            </w:r>
          </w:p>
        </w:tc>
        <w:tc>
          <w:tcPr/>
          <w:p>
            <w:pPr>
              <w:pStyle w:val="Compact"/>
              <w:jc w:val="left"/>
            </w:pPr>
            <w:r>
              <w:t xml:space="preserve">6,1</w:t>
            </w:r>
          </w:p>
        </w:tc>
      </w:tr>
      <w:tr>
        <w:tc>
          <w:tcPr/>
          <w:p>
            <w:pPr>
              <w:pStyle w:val="Compact"/>
              <w:jc w:val="left"/>
            </w:pPr>
            <w:r>
              <w:rPr>
                <w:bCs/>
                <w:b/>
              </w:rPr>
              <w:t xml:space="preserve">SIDS Thái Bình Dương (v3.1: gồm Kiribati 2025)</w:t>
            </w:r>
          </w:p>
        </w:tc>
        <w:tc>
          <w:tcPr/>
          <w:p>
            <w:pPr>
              <w:pStyle w:val="Compact"/>
              <w:jc w:val="left"/>
            </w:pPr>
            <w:r>
              <w:rPr>
                <w:bCs/>
                <w:b/>
              </w:rPr>
              <w:t xml:space="preserve">10</w:t>
            </w:r>
          </w:p>
        </w:tc>
        <w:tc>
          <w:tcPr/>
          <w:p>
            <w:pPr>
              <w:pStyle w:val="Compact"/>
              <w:jc w:val="left"/>
            </w:pPr>
            <w:r>
              <w:rPr>
                <w:bCs/>
                <w:b/>
              </w:rPr>
              <w:t xml:space="preserve">1.097</w:t>
            </w:r>
          </w:p>
        </w:tc>
        <w:tc>
          <w:tcPr/>
          <w:p>
            <w:pPr>
              <w:pStyle w:val="Compact"/>
              <w:jc w:val="left"/>
            </w:pPr>
            <w:r>
              <w:rPr>
                <w:bCs/>
                <w:b/>
              </w:rPr>
              <w:t xml:space="preserve">1,32</w:t>
            </w:r>
          </w:p>
        </w:tc>
        <w:tc>
          <w:tcPr/>
          <w:p>
            <w:pPr>
              <w:pStyle w:val="Compact"/>
              <w:jc w:val="left"/>
            </w:pPr>
            <w:r>
              <w:t xml:space="preserve">(cập nhật GĐ1)</w:t>
            </w:r>
          </w:p>
        </w:tc>
        <w:tc>
          <w:tcPr/>
          <w:p>
            <w:pPr>
              <w:pStyle w:val="Compact"/>
              <w:jc w:val="left"/>
            </w:pPr>
            <w:r>
              <w:t xml:space="preserve">(cập nhật GĐ1)</w:t>
            </w:r>
          </w:p>
        </w:tc>
      </w:tr>
    </w:tbl>
    <w:p>
      <w:pPr>
        <w:pStyle w:val="BodyText"/>
      </w:pPr>
      <w:r>
        <w:rPr>
          <w:iCs/>
          <w:i/>
        </w:rPr>
        <w:t xml:space="preserve">Ghi chú: Advanced tách 2 phân nhóm con ở v3.1 — tỷ số phân tán Singapore (1,03) so với Vùng Vịnh (0,49) ≈</w:t>
      </w:r>
      <w:r>
        <w:rPr>
          <w:iCs/>
          <w:i/>
        </w:rPr>
        <w:t xml:space="preserve"> </w:t>
      </w:r>
      <w:r>
        <w:rPr>
          <w:bCs/>
          <w:b/>
          <w:iCs/>
          <w:i/>
        </w:rPr>
        <w:t xml:space="preserve">2,1 lần</w:t>
      </w:r>
      <w:r>
        <w:rPr>
          <w:iCs/>
          <w:i/>
        </w:rPr>
        <w:t xml:space="preserve">. SIDS row v3.1 với Kiribati 2025 (n=150, sd log 1,48).</w:t>
      </w:r>
    </w:p>
    <w:p>
      <w:pPr>
        <w:pStyle w:val="BodyText"/>
      </w:pPr>
      <w:r>
        <w:drawing>
          <wp:inline>
            <wp:extent cx="5753100" cy="3401496"/>
            <wp:effectExtent b="0" l="0" r="0" t="0"/>
            <wp:docPr descr="Hình 4.2 — Phân phối năng suất theo 6 phân nhóm con (kernel density, n=101.185)" title="" id="28" name="Picture"/>
            <a:graphic>
              <a:graphicData uri="http://schemas.openxmlformats.org/drawingml/2006/picture">
                <pic:pic>
                  <pic:nvPicPr>
                    <pic:cNvPr descr="figures/fig_4_2_productivity_density.png" id="29" name="Picture"/>
                    <pic:cNvPicPr>
                      <a:picLocks noChangeArrowheads="1" noChangeAspect="1"/>
                    </pic:cNvPicPr>
                  </pic:nvPicPr>
                  <pic:blipFill>
                    <a:blip r:embed="rId27"/>
                    <a:stretch>
                      <a:fillRect/>
                    </a:stretch>
                  </pic:blipFill>
                  <pic:spPr bwMode="auto">
                    <a:xfrm>
                      <a:off x="0" y="0"/>
                      <a:ext cx="5753100" cy="3401496"/>
                    </a:xfrm>
                    <a:prstGeom prst="rect">
                      <a:avLst/>
                    </a:prstGeom>
                    <a:noFill/>
                    <a:ln w="9525">
                      <a:noFill/>
                      <a:headEnd/>
                      <a:tailEnd/>
                    </a:ln>
                  </pic:spPr>
                </pic:pic>
              </a:graphicData>
            </a:graphic>
          </wp:inline>
        </w:drawing>
      </w:r>
    </w:p>
    <w:p>
      <w:pPr>
        <w:pStyle w:val="BodyText"/>
      </w:pPr>
      <w:r>
        <w:rPr>
          <w:iCs/>
          <w:i/>
        </w:rPr>
        <w:t xml:space="preserve">Hình 4.2. Đồ thị mật độ kernel cho 6 phân nhóm con: Advanced innovation (sd 1,03), Advanced resource (sd 0,49), Upper-middle (1,29), Emerging (1,24), Frontier (1,36), SIDS (1,32). Phân nhóm tài nguyên dẫn dắt (Vùng Vịnh) phân tán hẹp nhất; Frontier rộng nhất. Tái lập:</w:t>
      </w:r>
      <w:r>
        <w:rPr>
          <w:iCs/>
          <w:i/>
        </w:rPr>
        <w:t xml:space="preserve"> </w:t>
      </w:r>
      <w:r>
        <w:rPr>
          <w:rStyle w:val="VerbatimChar"/>
          <w:iCs/>
          <w:i/>
        </w:rPr>
        <w:t xml:space="preserve">generate_figures.py</w:t>
      </w:r>
      <w:r>
        <w:rPr>
          <w:iCs/>
          <w:i/>
        </w:rPr>
        <w:t xml:space="preserve"> </w:t>
      </w:r>
      <w:r>
        <w:rPr>
          <w:iCs/>
          <w:i/>
        </w:rPr>
        <w:t xml:space="preserve">function</w:t>
      </w:r>
      <w:r>
        <w:rPr>
          <w:iCs/>
          <w:i/>
        </w:rPr>
        <w:t xml:space="preserve"> </w:t>
      </w:r>
      <w:r>
        <w:rPr>
          <w:rStyle w:val="VerbatimChar"/>
          <w:iCs/>
          <w:i/>
        </w:rPr>
        <w:t xml:space="preserve">fig_4_2_productivity_density()</w:t>
      </w:r>
      <w:r>
        <w:rPr>
          <w:iCs/>
          <w:i/>
        </w:rPr>
        <w:t xml:space="preserve">.</w:t>
      </w:r>
    </w:p>
    <w:p>
      <w:pPr>
        <w:pStyle w:val="BodyText"/>
      </w:pPr>
      <w:r>
        <w:t xml:space="preserve">5 phát hiện: (1) Phân tán Advanced gộp giảm từ 1,00 → 0,86 sau khi bổ sung Vùng Vịnh — bằng chứng dị biệt nội bộ; (2) Frontier cao nhất — phù hợp</w:t>
      </w:r>
      <w:r>
        <w:t xml:space="preserve"> </w:t>
      </w:r>
      <w:r>
        <w:rPr>
          <w:bCs/>
          <w:b/>
        </w:rPr>
        <w:t xml:space="preserve">giả thuyết phân bổ sai nguồn lực (misallocation hypothesis)</w:t>
      </w:r>
      <w:r>
        <w:t xml:space="preserve"> </w:t>
      </w:r>
      <w:r>
        <w:t xml:space="preserve">Hsieh &amp; Klenow (2009, 2014); (3) SIDS ở mức trung bình ~1,32 (v3.1); (4) tỷ số P90/P10 tăng đơn điệu theo phân nhóm con; (5) bằng chứng cho H5 — điều tiết thể chế (institutional moderation).</w:t>
      </w:r>
    </w:p>
    <w:bookmarkEnd w:id="30"/>
    <w:bookmarkStart w:id="31" w:name="X49e6a83a3edd7a7248fb949f5c6416aeb2d23bb"/>
    <w:p>
      <w:pPr>
        <w:pStyle w:val="Heading3"/>
      </w:pPr>
      <w:r>
        <w:t xml:space="preserve">4.3 Thực trạng quốc tế hóa và tăng trưởng việc làm</w:t>
      </w:r>
    </w:p>
    <w:p>
      <w:pPr>
        <w:pStyle w:val="FirstParagraph"/>
      </w:pPr>
      <w:r>
        <w:rPr>
          <w:bCs/>
          <w:b/>
        </w:rPr>
        <w:t xml:space="preserve">Bảng 4.3</w:t>
      </w:r>
      <w:r>
        <w:t xml:space="preserve">.</w:t>
      </w:r>
      <w:r>
        <w:t xml:space="preserve"> </w:t>
      </w:r>
      <w:r>
        <w:rPr>
          <w:iCs/>
          <w:i/>
        </w:rPr>
        <w:t xml:space="preserve">FSTS, doanh nghiệp xuất khẩu và CAGR việc làm theo phân nhóm con.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Phân nhóm con</w:t>
            </w:r>
          </w:p>
        </w:tc>
        <w:tc>
          <w:tcPr/>
          <w:p>
            <w:pPr>
              <w:pStyle w:val="Compact"/>
              <w:jc w:val="left"/>
            </w:pPr>
            <w:r>
              <w:t xml:space="preserve">FSTS (%)</w:t>
            </w:r>
          </w:p>
        </w:tc>
        <w:tc>
          <w:tcPr/>
          <w:p>
            <w:pPr>
              <w:pStyle w:val="Compact"/>
              <w:jc w:val="left"/>
            </w:pPr>
            <w:r>
              <w:t xml:space="preserve">Doanh nghiệp xuất khẩu (%)</w:t>
            </w:r>
          </w:p>
        </w:tc>
        <w:tc>
          <w:tcPr/>
          <w:p>
            <w:pPr>
              <w:pStyle w:val="Compact"/>
              <w:jc w:val="left"/>
            </w:pPr>
            <w:r>
              <w:t xml:space="preserve">CAGR việc làm (%)</w:t>
            </w:r>
          </w:p>
        </w:tc>
      </w:tr>
      <w:tr>
        <w:tc>
          <w:tcPr/>
          <w:p>
            <w:pPr>
              <w:pStyle w:val="Compact"/>
              <w:jc w:val="left"/>
            </w:pPr>
            <w:r>
              <w:t xml:space="preserve">Advanced</w:t>
            </w:r>
          </w:p>
        </w:tc>
        <w:tc>
          <w:tcPr/>
          <w:p>
            <w:pPr>
              <w:pStyle w:val="Compact"/>
              <w:jc w:val="left"/>
            </w:pPr>
            <w:r>
              <w:t xml:space="preserve">10,2</w:t>
            </w:r>
          </w:p>
        </w:tc>
        <w:tc>
          <w:tcPr/>
          <w:p>
            <w:pPr>
              <w:pStyle w:val="Compact"/>
              <w:jc w:val="left"/>
            </w:pPr>
            <w:r>
              <w:t xml:space="preserve">23,0</w:t>
            </w:r>
          </w:p>
        </w:tc>
        <w:tc>
          <w:tcPr/>
          <w:p>
            <w:pPr>
              <w:pStyle w:val="Compact"/>
              <w:jc w:val="left"/>
            </w:pPr>
            <w:r>
              <w:t xml:space="preserve">3,15</w:t>
            </w:r>
          </w:p>
        </w:tc>
      </w:tr>
      <w:tr>
        <w:tc>
          <w:tcPr/>
          <w:p>
            <w:pPr>
              <w:pStyle w:val="Compact"/>
              <w:jc w:val="left"/>
            </w:pPr>
            <w:r>
              <w:t xml:space="preserve">Upper-middle</w:t>
            </w:r>
          </w:p>
        </w:tc>
        <w:tc>
          <w:tcPr/>
          <w:p>
            <w:pPr>
              <w:pStyle w:val="Compact"/>
              <w:jc w:val="left"/>
            </w:pPr>
            <w:r>
              <w:t xml:space="preserve">10,3</w:t>
            </w:r>
          </w:p>
        </w:tc>
        <w:tc>
          <w:tcPr/>
          <w:p>
            <w:pPr>
              <w:pStyle w:val="Compact"/>
              <w:jc w:val="left"/>
            </w:pPr>
            <w:r>
              <w:t xml:space="preserve">21,7</w:t>
            </w:r>
          </w:p>
        </w:tc>
        <w:tc>
          <w:tcPr/>
          <w:p>
            <w:pPr>
              <w:pStyle w:val="Compact"/>
              <w:jc w:val="left"/>
            </w:pPr>
            <w:r>
              <w:t xml:space="preserve">4,25</w:t>
            </w:r>
          </w:p>
        </w:tc>
      </w:tr>
      <w:tr>
        <w:tc>
          <w:tcPr/>
          <w:p>
            <w:pPr>
              <w:pStyle w:val="Compact"/>
              <w:jc w:val="left"/>
            </w:pPr>
            <w:r>
              <w:t xml:space="preserve">Emerging</w:t>
            </w:r>
          </w:p>
        </w:tc>
        <w:tc>
          <w:tcPr/>
          <w:p>
            <w:pPr>
              <w:pStyle w:val="Compact"/>
              <w:jc w:val="left"/>
            </w:pPr>
            <w:r>
              <w:t xml:space="preserve">8,6</w:t>
            </w:r>
          </w:p>
        </w:tc>
        <w:tc>
          <w:tcPr/>
          <w:p>
            <w:pPr>
              <w:pStyle w:val="Compact"/>
              <w:jc w:val="left"/>
            </w:pPr>
            <w:r>
              <w:t xml:space="preserve">15,5</w:t>
            </w:r>
          </w:p>
        </w:tc>
        <w:tc>
          <w:tcPr/>
          <w:p>
            <w:pPr>
              <w:pStyle w:val="Compact"/>
              <w:jc w:val="left"/>
            </w:pPr>
            <w:r>
              <w:t xml:space="preserve">2,81</w:t>
            </w:r>
          </w:p>
        </w:tc>
      </w:tr>
      <w:tr>
        <w:tc>
          <w:tcPr/>
          <w:p>
            <w:pPr>
              <w:pStyle w:val="Compact"/>
              <w:jc w:val="left"/>
            </w:pPr>
            <w:r>
              <w:t xml:space="preserve">Frontier</w:t>
            </w:r>
          </w:p>
        </w:tc>
        <w:tc>
          <w:tcPr/>
          <w:p>
            <w:pPr>
              <w:pStyle w:val="Compact"/>
              <w:jc w:val="left"/>
            </w:pPr>
            <w:r>
              <w:t xml:space="preserve">10,1</w:t>
            </w:r>
          </w:p>
        </w:tc>
        <w:tc>
          <w:tcPr/>
          <w:p>
            <w:pPr>
              <w:pStyle w:val="Compact"/>
              <w:jc w:val="left"/>
            </w:pPr>
            <w:r>
              <w:t xml:space="preserve">16,6</w:t>
            </w:r>
          </w:p>
        </w:tc>
        <w:tc>
          <w:tcPr/>
          <w:p>
            <w:pPr>
              <w:pStyle w:val="Compact"/>
              <w:jc w:val="left"/>
            </w:pPr>
            <w:r>
              <w:t xml:space="preserve">3,65</w:t>
            </w:r>
          </w:p>
        </w:tc>
      </w:tr>
      <w:tr>
        <w:tc>
          <w:tcPr/>
          <w:p>
            <w:pPr>
              <w:pStyle w:val="Compact"/>
              <w:jc w:val="left"/>
            </w:pPr>
            <w:r>
              <w:t xml:space="preserve">SIDS</w:t>
            </w:r>
          </w:p>
        </w:tc>
        <w:tc>
          <w:tcPr/>
          <w:p>
            <w:pPr>
              <w:pStyle w:val="Compact"/>
              <w:jc w:val="left"/>
            </w:pPr>
            <w:r>
              <w:t xml:space="preserve">6,3</w:t>
            </w:r>
          </w:p>
        </w:tc>
        <w:tc>
          <w:tcPr/>
          <w:p>
            <w:pPr>
              <w:pStyle w:val="Compact"/>
              <w:jc w:val="left"/>
            </w:pPr>
            <w:r>
              <w:t xml:space="preserve">16,3</w:t>
            </w:r>
          </w:p>
        </w:tc>
        <w:tc>
          <w:tcPr/>
          <w:p>
            <w:pPr>
              <w:pStyle w:val="Compact"/>
              <w:jc w:val="left"/>
            </w:pPr>
            <w:r>
              <w:t xml:space="preserve">5,77</w:t>
            </w:r>
          </w:p>
        </w:tc>
      </w:tr>
    </w:tbl>
    <w:p>
      <w:pPr>
        <w:pStyle w:val="BodyText"/>
      </w:pPr>
      <w:r>
        <w:t xml:space="preserve">Trung vị FSTS bằng 0% — phân phối phân cực mạnh; SIDS có CAGR việc làm cao nhất.</w:t>
      </w:r>
    </w:p>
    <w:bookmarkEnd w:id="31"/>
    <w:bookmarkStart w:id="35" w:name="X9da48440be0f68d2ca17e87929ae187af48e20c"/>
    <w:p>
      <w:pPr>
        <w:pStyle w:val="Heading3"/>
      </w:pPr>
      <w:r>
        <w:t xml:space="preserve">4.4 Thực trạng đổi mới sáng tạo và năng lực số</w:t>
      </w:r>
    </w:p>
    <w:bookmarkStart w:id="32" w:name="X9b69c66241ca10117bab41129d52be8e3213a5b"/>
    <w:p>
      <w:pPr>
        <w:pStyle w:val="Heading4"/>
      </w:pPr>
      <w:r>
        <w:t xml:space="preserve">4.4.0 Khung 5 lĩnh vực chỉ số WBES — định vị §4.4 trong tổng thể</w:t>
      </w:r>
    </w:p>
    <w:p>
      <w:pPr>
        <w:pStyle w:val="BlockText"/>
      </w:pPr>
      <w:r>
        <w:rPr>
          <w:bCs/>
          <w:b/>
        </w:rPr>
        <w:t xml:space="preserve">Nguồn chuẩn</w:t>
      </w:r>
      <w:r>
        <w:t xml:space="preserve">: World Bank (n.d.).</w:t>
      </w:r>
      <w:r>
        <w:t xml:space="preserve"> </w:t>
      </w:r>
      <w:r>
        <w:rPr>
          <w:iCs/>
          <w:i/>
        </w:rPr>
        <w:t xml:space="preserve">Tài liệu tóm tắt: Các chỉ số khảo sát doanh nghiệp Enterprise Surveys</w:t>
      </w:r>
      <w:r>
        <w:t xml:space="preserve"> </w:t>
      </w:r>
      <w:r>
        <w:t xml:space="preserve">(file 04 v2.5 Section L). Cross-cite glossary v1.2 Nhóm 6 (commit e9a73ae) + Nhóm 7 (commit beb47d3).</w:t>
      </w:r>
    </w:p>
    <w:p>
      <w:pPr>
        <w:pStyle w:val="FirstParagraph"/>
      </w:pPr>
      <w:r>
        <w:t xml:space="preserve">WBES tổ chức các chỉ số doanh nghiệp thành</w:t>
      </w:r>
      <w:r>
        <w:t xml:space="preserve"> </w:t>
      </w:r>
      <w:r>
        <w:rPr>
          <w:bCs/>
          <w:b/>
        </w:rPr>
        <w:t xml:space="preserve">5 lĩnh vực chính thức (5 indicator domains)</w:t>
      </w:r>
      <w:r>
        <w:t xml:space="preserve"> </w:t>
      </w:r>
      <w:r>
        <w:t xml:space="preserve">— đây là khung phân tích chuẩn của World Bank được dùng nhất quán xuyên các báo cáo WBES châu Á và châu lục khác. Bảng dưới định vị §4.4 hiện tại trong tổng thể 5 lĩnh vực:</w:t>
      </w:r>
    </w:p>
    <w:p>
      <w:pPr>
        <w:pStyle w:val="BodyText"/>
      </w:pPr>
      <w:r>
        <w:rPr>
          <w:bCs/>
          <w:b/>
        </w:rPr>
        <w:t xml:space="preserve">Bảng 4.4.0</w:t>
      </w:r>
      <w:r>
        <w:t xml:space="preserve">.</w:t>
      </w:r>
      <w:r>
        <w:t xml:space="preserve"> </w:t>
      </w:r>
      <w:r>
        <w:rPr>
          <w:iCs/>
          <w:i/>
        </w:rPr>
        <w:t xml:space="preserve">Khung 5 lĩnh vực chỉ số WBES — định vị phạm vi đo lường của §4.4.</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Lĩnh vực</w:t>
            </w:r>
          </w:p>
        </w:tc>
        <w:tc>
          <w:tcPr/>
          <w:p>
            <w:pPr>
              <w:pStyle w:val="Compact"/>
              <w:jc w:val="left"/>
            </w:pPr>
            <w:r>
              <w:t xml:space="preserve">Ví dụ chỉ số WBES</w:t>
            </w:r>
          </w:p>
        </w:tc>
        <w:tc>
          <w:tcPr/>
          <w:p>
            <w:pPr>
              <w:pStyle w:val="Compact"/>
              <w:jc w:val="left"/>
            </w:pPr>
            <w:r>
              <w:t xml:space="preserve">§CĐ1 đo trực tiếp</w:t>
            </w:r>
          </w:p>
        </w:tc>
        <w:tc>
          <w:tcPr/>
          <w:p>
            <w:pPr>
              <w:pStyle w:val="Compact"/>
              <w:jc w:val="left"/>
            </w:pPr>
            <w:r>
              <w:t xml:space="preserve">Hàm ý CĐ2</w:t>
            </w:r>
          </w:p>
        </w:tc>
      </w:tr>
      <w:tr>
        <w:tc>
          <w:tcPr/>
          <w:p>
            <w:pPr>
              <w:pStyle w:val="Compact"/>
              <w:jc w:val="left"/>
            </w:pPr>
            <w:r>
              <w:t xml:space="preserve">(1)</w:t>
            </w:r>
          </w:p>
        </w:tc>
        <w:tc>
          <w:tcPr/>
          <w:p>
            <w:pPr>
              <w:pStyle w:val="Compact"/>
              <w:jc w:val="left"/>
            </w:pPr>
            <w:r>
              <w:rPr>
                <w:bCs/>
                <w:b/>
              </w:rPr>
              <w:t xml:space="preserve">Quy định pháp lý + Thuế</w:t>
            </w:r>
          </w:p>
        </w:tc>
        <w:tc>
          <w:tcPr/>
          <w:p>
            <w:pPr>
              <w:pStyle w:val="Compact"/>
              <w:jc w:val="left"/>
            </w:pPr>
            <w:r>
              <w:t xml:space="preserve">Thuế thời gian (Time Tax) — h/năm tuân thủ thuế; Tuân thủ thuế (Tax compliance); Cấp phép kinh doanh; Thanh tra</w:t>
            </w:r>
          </w:p>
        </w:tc>
        <w:tc>
          <w:tcPr/>
          <w:p>
            <w:pPr>
              <w:pStyle w:val="Compact"/>
              <w:jc w:val="left"/>
            </w:pPr>
            <w:r>
              <w:t xml:space="preserve">(gợi ý CĐ2)</w:t>
            </w:r>
          </w:p>
        </w:tc>
        <w:tc>
          <w:tcPr/>
          <w:p>
            <w:pPr>
              <w:pStyle w:val="Compact"/>
              <w:jc w:val="left"/>
            </w:pPr>
            <w:r>
              <w:t xml:space="preserve">CĐ2 sẽ deep-dive — biến</w:t>
            </w:r>
            <w:r>
              <w:t xml:space="preserve"> </w:t>
            </w:r>
            <w:r>
              <w:rPr>
                <w:rStyle w:val="VerbatimChar"/>
              </w:rPr>
              <w:t xml:space="preserve">time_tax_hours</w:t>
            </w:r>
            <w:r>
              <w:t xml:space="preserve"> </w:t>
            </w:r>
            <w:r>
              <w:t xml:space="preserve">và</w:t>
            </w:r>
            <w:r>
              <w:t xml:space="preserve"> </w:t>
            </w:r>
            <w:r>
              <w:rPr>
                <w:rStyle w:val="VerbatimChar"/>
              </w:rPr>
              <w:t xml:space="preserve">tax_inspection_freq</w:t>
            </w:r>
          </w:p>
        </w:tc>
      </w:tr>
      <w:tr>
        <w:tc>
          <w:tcPr/>
          <w:p>
            <w:pPr>
              <w:pStyle w:val="Compact"/>
              <w:jc w:val="left"/>
            </w:pPr>
            <w:r>
              <w:t xml:space="preserve">(2)</w:t>
            </w:r>
          </w:p>
        </w:tc>
        <w:tc>
          <w:tcPr/>
          <w:p>
            <w:pPr>
              <w:pStyle w:val="Compact"/>
              <w:jc w:val="left"/>
            </w:pPr>
            <w:r>
              <w:rPr>
                <w:bCs/>
                <w:b/>
              </w:rPr>
              <w:t xml:space="preserve">Tài chính + Tín dụng</w:t>
            </w:r>
          </w:p>
        </w:tc>
        <w:tc>
          <w:tcPr/>
          <w:p>
            <w:pPr>
              <w:pStyle w:val="Compact"/>
              <w:jc w:val="left"/>
            </w:pPr>
            <w:r>
              <w:t xml:space="preserve">Hạn chế tín dụng (Credit constraint); Số hóa tài chính (Financial digitalization); Tỷ lệ DN có tài khoản ngân hàng; Tỷ lệ DN có khoản vay</w:t>
            </w:r>
          </w:p>
        </w:tc>
        <w:tc>
          <w:tcPr/>
          <w:p>
            <w:pPr>
              <w:pStyle w:val="Compact"/>
              <w:jc w:val="left"/>
            </w:pPr>
            <w:r>
              <w:t xml:space="preserve">(gợi ý CĐ2 — link §4.5.5 rào cản #1)</w:t>
            </w:r>
          </w:p>
        </w:tc>
        <w:tc>
          <w:tcPr/>
          <w:p>
            <w:pPr>
              <w:pStyle w:val="Compact"/>
              <w:jc w:val="left"/>
            </w:pPr>
            <w:r>
              <w:t xml:space="preserve">CĐ2 deep-dive — biến</w:t>
            </w:r>
            <w:r>
              <w:t xml:space="preserve"> </w:t>
            </w:r>
            <w:r>
              <w:rPr>
                <w:rStyle w:val="VerbatimChar"/>
              </w:rPr>
              <w:t xml:space="preserve">credit_constraint_dummy</w:t>
            </w:r>
          </w:p>
        </w:tc>
      </w:tr>
      <w:tr>
        <w:tc>
          <w:tcPr/>
          <w:p>
            <w:pPr>
              <w:pStyle w:val="Compact"/>
              <w:jc w:val="left"/>
            </w:pPr>
            <w:r>
              <w:t xml:space="preserve">(3)</w:t>
            </w:r>
          </w:p>
        </w:tc>
        <w:tc>
          <w:tcPr/>
          <w:p>
            <w:pPr>
              <w:pStyle w:val="Compact"/>
              <w:jc w:val="left"/>
            </w:pPr>
            <w:r>
              <w:rPr>
                <w:bCs/>
                <w:b/>
              </w:rPr>
              <w:t xml:space="preserve">Cơ sở hạ tầng + Khí hậu</w:t>
            </w:r>
          </w:p>
        </w:tc>
        <w:tc>
          <w:tcPr/>
          <w:p>
            <w:pPr>
              <w:pStyle w:val="Compact"/>
              <w:jc w:val="left"/>
            </w:pPr>
            <w:r>
              <w:t xml:space="preserve">Quản lý năng lượng (Energy management); Mất điện (Power outages); Theo dõi CO2 (CO2 monitoring); Chất lượng đường giao thông</w:t>
            </w:r>
          </w:p>
        </w:tc>
        <w:tc>
          <w:tcPr/>
          <w:p>
            <w:pPr>
              <w:pStyle w:val="Compact"/>
              <w:jc w:val="left"/>
            </w:pPr>
            <w:r>
              <w:rPr>
                <w:bCs/>
                <w:b/>
              </w:rPr>
              <w:t xml:space="preserve">§4.4 đo gián tiếp qua quy trình mới</w:t>
            </w:r>
            <w:r>
              <w:t xml:space="preserve">;</w:t>
            </w:r>
            <w:r>
              <w:t xml:space="preserve"> </w:t>
            </w:r>
            <w:r>
              <w:rPr>
                <w:bCs/>
                <w:b/>
              </w:rPr>
              <w:t xml:space="preserve">§4.5.5 rào cản #4 đo trực tiếp</w:t>
            </w:r>
          </w:p>
        </w:tc>
        <w:tc>
          <w:tcPr/>
          <w:p>
            <w:pPr>
              <w:pStyle w:val="Compact"/>
              <w:jc w:val="left"/>
            </w:pPr>
            <w:r>
              <w:t xml:space="preserve">CĐ2 — biến</w:t>
            </w:r>
            <w:r>
              <w:t xml:space="preserve"> </w:t>
            </w:r>
            <w:r>
              <w:rPr>
                <w:rStyle w:val="VerbatimChar"/>
              </w:rPr>
              <w:t xml:space="preserve">power_outage_intensity</w:t>
            </w:r>
            <w:r>
              <w:t xml:space="preserve"> </w:t>
            </w:r>
            <w:r>
              <w:t xml:space="preserve">từ question c30</w:t>
            </w:r>
          </w:p>
        </w:tc>
      </w:tr>
      <w:tr>
        <w:tc>
          <w:tcPr/>
          <w:p>
            <w:pPr>
              <w:pStyle w:val="Compact"/>
              <w:jc w:val="left"/>
            </w:pPr>
            <w:r>
              <w:t xml:space="preserve">(4)</w:t>
            </w:r>
          </w:p>
        </w:tc>
        <w:tc>
          <w:tcPr/>
          <w:p>
            <w:pPr>
              <w:pStyle w:val="Compact"/>
              <w:jc w:val="left"/>
            </w:pPr>
            <w:r>
              <w:rPr>
                <w:bCs/>
                <w:b/>
              </w:rPr>
              <w:t xml:space="preserve">Thương mại + Cạnh tranh</w:t>
            </w:r>
          </w:p>
        </w:tc>
        <w:tc>
          <w:tcPr/>
          <w:p>
            <w:pPr>
              <w:pStyle w:val="Compact"/>
              <w:jc w:val="left"/>
            </w:pPr>
            <w:r>
              <w:t xml:space="preserve">Thời gian thông quan (Customs clearance time); Đối thủ phi chính thức; Xuất khẩu trực tiếp/gián tiếp; FSTS</w:t>
            </w:r>
          </w:p>
        </w:tc>
        <w:tc>
          <w:tcPr/>
          <w:p>
            <w:pPr>
              <w:pStyle w:val="Compact"/>
              <w:jc w:val="left"/>
            </w:pPr>
            <w:r>
              <w:t xml:space="preserve">(FSTS đã đo §4.3); cạnh tranh phi chính thức ở §4.5.5 #3</w:t>
            </w:r>
          </w:p>
        </w:tc>
        <w:tc>
          <w:tcPr/>
          <w:p>
            <w:pPr>
              <w:pStyle w:val="Compact"/>
              <w:jc w:val="left"/>
            </w:pPr>
            <w:r>
              <w:t xml:space="preserve">CĐ2 — biến</w:t>
            </w:r>
            <w:r>
              <w:t xml:space="preserve"> </w:t>
            </w:r>
            <w:r>
              <w:rPr>
                <w:rStyle w:val="VerbatimChar"/>
              </w:rPr>
              <w:t xml:space="preserve">customs_days</w:t>
            </w:r>
            <w:r>
              <w:t xml:space="preserve"> </w:t>
            </w:r>
            <w:r>
              <w:t xml:space="preserve">+</w:t>
            </w:r>
            <w:r>
              <w:t xml:space="preserve"> </w:t>
            </w:r>
            <w:r>
              <w:rPr>
                <w:rStyle w:val="VerbatimChar"/>
              </w:rPr>
              <w:t xml:space="preserve">informal_competition</w:t>
            </w:r>
          </w:p>
        </w:tc>
      </w:tr>
      <w:tr>
        <w:tc>
          <w:tcPr/>
          <w:p>
            <w:pPr>
              <w:pStyle w:val="Compact"/>
              <w:jc w:val="left"/>
            </w:pPr>
            <w:r>
              <w:t xml:space="preserve">(5)</w:t>
            </w:r>
          </w:p>
        </w:tc>
        <w:tc>
          <w:tcPr/>
          <w:p>
            <w:pPr>
              <w:pStyle w:val="Compact"/>
              <w:jc w:val="left"/>
            </w:pPr>
            <w:r>
              <w:rPr>
                <w:bCs/>
                <w:b/>
              </w:rPr>
              <w:t xml:space="preserve">Tham nhũng + Phi chính thức</w:t>
            </w:r>
          </w:p>
        </w:tc>
        <w:tc>
          <w:tcPr/>
          <w:p>
            <w:pPr>
              <w:pStyle w:val="Compact"/>
              <w:jc w:val="left"/>
            </w:pPr>
            <w:r>
              <w:t xml:space="preserve">Hối lộ (Bribery): Bribery Incidence + Bribery Depth; Tham ô (Graft Index); Đối thủ không chính thức</w:t>
            </w:r>
          </w:p>
        </w:tc>
        <w:tc>
          <w:tcPr/>
          <w:p>
            <w:pPr>
              <w:pStyle w:val="Compact"/>
              <w:jc w:val="left"/>
            </w:pPr>
            <w:r>
              <w:t xml:space="preserve">(sẽ phân biệt rõ trong §4.7.5 v3.8c — NEW)</w:t>
            </w:r>
          </w:p>
        </w:tc>
        <w:tc>
          <w:tcPr/>
          <w:p>
            <w:pPr>
              <w:pStyle w:val="Compact"/>
              <w:jc w:val="left"/>
            </w:pPr>
            <w:r>
              <w:t xml:space="preserve">CĐ2 deep-dive — biến</w:t>
            </w:r>
            <w:r>
              <w:t xml:space="preserve"> </w:t>
            </w:r>
            <w:r>
              <w:rPr>
                <w:rStyle w:val="VerbatimChar"/>
              </w:rPr>
              <w:t xml:space="preserve">bribery_incidence_pct</w:t>
            </w:r>
          </w:p>
        </w:tc>
      </w:tr>
    </w:tbl>
    <w:p>
      <w:pPr>
        <w:pStyle w:val="BodyText"/>
      </w:pPr>
      <w:r>
        <w:rPr>
          <w:bCs/>
          <w:b/>
        </w:rPr>
        <w:t xml:space="preserve">Phạm vi đo lường của §4.4</w:t>
      </w:r>
      <w:r>
        <w:t xml:space="preserve"> </w:t>
      </w:r>
      <w:r>
        <w:rPr>
          <w:iCs/>
          <w:i/>
        </w:rPr>
        <w:t xml:space="preserve">(đổi mới sáng tạo + năng lực số)</w:t>
      </w:r>
      <w:r>
        <w:t xml:space="preserve">: Chỉ tập trung vào</w:t>
      </w:r>
      <w:r>
        <w:t xml:space="preserve"> </w:t>
      </w:r>
      <w:r>
        <w:rPr>
          <w:bCs/>
          <w:b/>
        </w:rPr>
        <w:t xml:space="preserve">lĩnh vực (5) phần đổi mới + năng lực số</w:t>
      </w:r>
      <w:r>
        <w:t xml:space="preserve"> </w:t>
      </w:r>
      <w:r>
        <w:t xml:space="preserve">(gồm Sản phẩm mới, Quy trình mới, R&amp;D, ISO, Website) và một phần</w:t>
      </w:r>
      <w:r>
        <w:t xml:space="preserve"> </w:t>
      </w:r>
      <w:r>
        <w:rPr>
          <w:bCs/>
          <w:b/>
        </w:rPr>
        <w:t xml:space="preserve">lĩnh vực (3) hạ tầng</w:t>
      </w:r>
      <w:r>
        <w:t xml:space="preserve"> </w:t>
      </w:r>
      <w:r>
        <w:t xml:space="preserve">(Website đại diện cho ICT infrastructure access). Các lĩnh vực (1) (2) (4) và phần lớn (5) tham nhũng được</w:t>
      </w:r>
      <w:r>
        <w:t xml:space="preserve"> </w:t>
      </w:r>
      <w:r>
        <w:rPr>
          <w:bCs/>
          <w:b/>
        </w:rPr>
        <w:t xml:space="preserve">đề cập gián tiếp</w:t>
      </w:r>
      <w:r>
        <w:t xml:space="preserve"> </w:t>
      </w:r>
      <w:r>
        <w:t xml:space="preserve">qua bảng kết quả mức độ chi tiết quốc gia (§4.10) hoặc rào cản hàng đầu (§4.5.5), nhưng chưa được phân tích sâu — đây là</w:t>
      </w:r>
      <w:r>
        <w:t xml:space="preserve"> </w:t>
      </w:r>
      <w:r>
        <w:rPr>
          <w:bCs/>
          <w:b/>
        </w:rPr>
        <w:t xml:space="preserve">scope mở rộng cho CĐ2</w:t>
      </w:r>
      <w:r>
        <w:t xml:space="preserve"> </w:t>
      </w:r>
      <w:r>
        <w:t xml:space="preserve">với 5 control variables mới (xem §4.5.5 hàm ý CĐ2).</w:t>
      </w:r>
    </w:p>
    <w:p>
      <w:pPr>
        <w:pStyle w:val="BodyText"/>
      </w:pPr>
      <w:r>
        <w:rPr>
          <w:bCs/>
          <w:b/>
        </w:rPr>
        <w:t xml:space="preserve">Lý do giới hạn phạm vi CĐ1</w:t>
      </w:r>
      <w:r>
        <w:t xml:space="preserve">: (a) tính khả dụng của biến — biến trong (1) (2) (4) có nhiều missing values trong PICS3 schema cũ 2009-2012, gây mất cân đối panel; (b) tập trung vào hai construct cốt lõi của luận án (TCI + DAI) — Đỗ &amp; Phan (2026 — VEFR) đã thiết kế hai biến này từ lĩnh vực (5) đổi mới + năng lực số; (c) CĐ1 mang tính descriptive và gợi mở, để dành CĐ2 cho phân tích đa biến với specification đầy đủ 5 lĩnh vực.</w:t>
      </w:r>
    </w:p>
    <w:p>
      <w:pPr>
        <w:pStyle w:val="BodyText"/>
      </w:pPr>
      <w:r>
        <w:rPr>
          <w:bCs/>
          <w:b/>
        </w:rPr>
        <w:t xml:space="preserve">Bảng 4.4</w:t>
      </w:r>
      <w:r>
        <w:t xml:space="preserve">.</w:t>
      </w:r>
      <w:r>
        <w:t xml:space="preserve"> </w:t>
      </w:r>
      <w:r>
        <w:rPr>
          <w:iCs/>
          <w:i/>
        </w:rPr>
        <w:t xml:space="preserve">Đổi mới sáng tạo và áp dụng số (%).</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Phân nhóm con</w:t>
            </w:r>
          </w:p>
        </w:tc>
        <w:tc>
          <w:tcPr/>
          <w:p>
            <w:pPr>
              <w:pStyle w:val="Compact"/>
              <w:jc w:val="left"/>
            </w:pPr>
            <w:r>
              <w:t xml:space="preserve">Sản phẩm mới</w:t>
            </w:r>
          </w:p>
        </w:tc>
        <w:tc>
          <w:tcPr/>
          <w:p>
            <w:pPr>
              <w:pStyle w:val="Compact"/>
              <w:jc w:val="left"/>
            </w:pPr>
            <w:r>
              <w:t xml:space="preserve">Quy trình mới</w:t>
            </w:r>
          </w:p>
        </w:tc>
        <w:tc>
          <w:tcPr/>
          <w:p>
            <w:pPr>
              <w:pStyle w:val="Compact"/>
              <w:jc w:val="left"/>
            </w:pPr>
            <w:r>
              <w:t xml:space="preserve">R&amp;D</w:t>
            </w:r>
          </w:p>
        </w:tc>
        <w:tc>
          <w:tcPr/>
          <w:p>
            <w:pPr>
              <w:pStyle w:val="Compact"/>
              <w:jc w:val="left"/>
            </w:pPr>
            <w:r>
              <w:t xml:space="preserve">ISO</w:t>
            </w:r>
          </w:p>
        </w:tc>
        <w:tc>
          <w:tcPr/>
          <w:p>
            <w:pPr>
              <w:pStyle w:val="Compact"/>
              <w:jc w:val="left"/>
            </w:pPr>
            <w:r>
              <w:t xml:space="preserve">Website</w:t>
            </w:r>
          </w:p>
        </w:tc>
      </w:tr>
      <w:tr>
        <w:tc>
          <w:tcPr/>
          <w:p>
            <w:pPr>
              <w:pStyle w:val="Compact"/>
              <w:jc w:val="left"/>
            </w:pPr>
            <w:r>
              <w:t xml:space="preserve">Advanced</w:t>
            </w:r>
          </w:p>
        </w:tc>
        <w:tc>
          <w:tcPr/>
          <w:p>
            <w:pPr>
              <w:pStyle w:val="Compact"/>
              <w:jc w:val="left"/>
            </w:pPr>
            <w:r>
              <w:t xml:space="preserve">22,3</w:t>
            </w:r>
          </w:p>
        </w:tc>
        <w:tc>
          <w:tcPr/>
          <w:p>
            <w:pPr>
              <w:pStyle w:val="Compact"/>
              <w:jc w:val="left"/>
            </w:pPr>
            <w:r>
              <w:t xml:space="preserve">52,3</w:t>
            </w:r>
          </w:p>
        </w:tc>
        <w:tc>
          <w:tcPr/>
          <w:p>
            <w:pPr>
              <w:pStyle w:val="Compact"/>
              <w:jc w:val="left"/>
            </w:pPr>
            <w:r>
              <w:t xml:space="preserve">16,7</w:t>
            </w:r>
          </w:p>
        </w:tc>
        <w:tc>
          <w:tcPr/>
          <w:p>
            <w:pPr>
              <w:pStyle w:val="Compact"/>
              <w:jc w:val="left"/>
            </w:pPr>
            <w:r>
              <w:t xml:space="preserve">29,9</w:t>
            </w:r>
          </w:p>
        </w:tc>
        <w:tc>
          <w:tcPr/>
          <w:p>
            <w:pPr>
              <w:pStyle w:val="Compact"/>
              <w:jc w:val="left"/>
            </w:pPr>
            <w:r>
              <w:t xml:space="preserve">59,3</w:t>
            </w:r>
          </w:p>
        </w:tc>
      </w:tr>
      <w:tr>
        <w:tc>
          <w:tcPr/>
          <w:p>
            <w:pPr>
              <w:pStyle w:val="Compact"/>
              <w:jc w:val="left"/>
            </w:pPr>
            <w:r>
              <w:t xml:space="preserve">Upper-middle</w:t>
            </w:r>
          </w:p>
        </w:tc>
        <w:tc>
          <w:tcPr/>
          <w:p>
            <w:pPr>
              <w:pStyle w:val="Compact"/>
              <w:jc w:val="left"/>
            </w:pPr>
            <w:r>
              <w:t xml:space="preserve">26,7</w:t>
            </w:r>
          </w:p>
        </w:tc>
        <w:tc>
          <w:tcPr/>
          <w:p>
            <w:pPr>
              <w:pStyle w:val="Compact"/>
              <w:jc w:val="left"/>
            </w:pPr>
            <w:r>
              <w:t xml:space="preserve">71,7</w:t>
            </w:r>
          </w:p>
        </w:tc>
        <w:tc>
          <w:tcPr/>
          <w:p>
            <w:pPr>
              <w:pStyle w:val="Compact"/>
              <w:jc w:val="left"/>
            </w:pPr>
            <w:r>
              <w:t xml:space="preserve">21,0</w:t>
            </w:r>
          </w:p>
        </w:tc>
        <w:tc>
          <w:tcPr/>
          <w:p>
            <w:pPr>
              <w:pStyle w:val="Compact"/>
              <w:jc w:val="left"/>
            </w:pPr>
            <w:r>
              <w:t xml:space="preserve">31,4</w:t>
            </w:r>
          </w:p>
        </w:tc>
        <w:tc>
          <w:tcPr/>
          <w:p>
            <w:pPr>
              <w:pStyle w:val="Compact"/>
              <w:jc w:val="left"/>
            </w:pPr>
            <w:r>
              <w:t xml:space="preserve">56,9</w:t>
            </w:r>
          </w:p>
        </w:tc>
      </w:tr>
      <w:tr>
        <w:tc>
          <w:tcPr/>
          <w:p>
            <w:pPr>
              <w:pStyle w:val="Compact"/>
              <w:jc w:val="left"/>
            </w:pPr>
            <w:r>
              <w:t xml:space="preserve">Emerging</w:t>
            </w:r>
          </w:p>
        </w:tc>
        <w:tc>
          <w:tcPr/>
          <w:p>
            <w:pPr>
              <w:pStyle w:val="Compact"/>
              <w:jc w:val="left"/>
            </w:pPr>
            <w:r>
              <w:t xml:space="preserve">17,5</w:t>
            </w:r>
          </w:p>
        </w:tc>
        <w:tc>
          <w:tcPr/>
          <w:p>
            <w:pPr>
              <w:pStyle w:val="Compact"/>
              <w:jc w:val="left"/>
            </w:pPr>
            <w:r>
              <w:t xml:space="preserve">65,2</w:t>
            </w:r>
          </w:p>
        </w:tc>
        <w:tc>
          <w:tcPr/>
          <w:p>
            <w:pPr>
              <w:pStyle w:val="Compact"/>
              <w:jc w:val="left"/>
            </w:pPr>
            <w:r>
              <w:t xml:space="preserve">16,4</w:t>
            </w:r>
          </w:p>
        </w:tc>
        <w:tc>
          <w:tcPr/>
          <w:p>
            <w:pPr>
              <w:pStyle w:val="Compact"/>
              <w:jc w:val="left"/>
            </w:pPr>
            <w:r>
              <w:t xml:space="preserve">24,9</w:t>
            </w:r>
          </w:p>
        </w:tc>
        <w:tc>
          <w:tcPr/>
          <w:p>
            <w:pPr>
              <w:pStyle w:val="Compact"/>
              <w:jc w:val="left"/>
            </w:pPr>
            <w:r>
              <w:t xml:space="preserve">49,2</w:t>
            </w:r>
          </w:p>
        </w:tc>
      </w:tr>
      <w:tr>
        <w:tc>
          <w:tcPr/>
          <w:p>
            <w:pPr>
              <w:pStyle w:val="Compact"/>
              <w:jc w:val="left"/>
            </w:pPr>
            <w:r>
              <w:t xml:space="preserve">Frontier</w:t>
            </w:r>
          </w:p>
        </w:tc>
        <w:tc>
          <w:tcPr/>
          <w:p>
            <w:pPr>
              <w:pStyle w:val="Compact"/>
              <w:jc w:val="left"/>
            </w:pPr>
            <w:r>
              <w:t xml:space="preserve">23,1</w:t>
            </w:r>
          </w:p>
        </w:tc>
        <w:tc>
          <w:tcPr/>
          <w:p>
            <w:pPr>
              <w:pStyle w:val="Compact"/>
              <w:jc w:val="left"/>
            </w:pPr>
            <w:r>
              <w:t xml:space="preserve">68,9</w:t>
            </w:r>
          </w:p>
        </w:tc>
        <w:tc>
          <w:tcPr/>
          <w:p>
            <w:pPr>
              <w:pStyle w:val="Compact"/>
              <w:jc w:val="left"/>
            </w:pPr>
            <w:r>
              <w:t xml:space="preserve">14,2</w:t>
            </w:r>
          </w:p>
        </w:tc>
        <w:tc>
          <w:tcPr/>
          <w:p>
            <w:pPr>
              <w:pStyle w:val="Compact"/>
              <w:jc w:val="left"/>
            </w:pPr>
            <w:r>
              <w:t xml:space="preserve">20,7</w:t>
            </w:r>
          </w:p>
        </w:tc>
        <w:tc>
          <w:tcPr/>
          <w:p>
            <w:pPr>
              <w:pStyle w:val="Compact"/>
              <w:jc w:val="left"/>
            </w:pPr>
            <w:r>
              <w:t xml:space="preserve">38,0</w:t>
            </w:r>
          </w:p>
        </w:tc>
      </w:tr>
      <w:tr>
        <w:tc>
          <w:tcPr/>
          <w:p>
            <w:pPr>
              <w:pStyle w:val="Compact"/>
              <w:jc w:val="left"/>
            </w:pPr>
            <w:r>
              <w:t xml:space="preserve">SIDS Thái Bình Dương</w:t>
            </w:r>
          </w:p>
        </w:tc>
        <w:tc>
          <w:tcPr/>
          <w:p>
            <w:pPr>
              <w:pStyle w:val="Compact"/>
              <w:jc w:val="left"/>
            </w:pPr>
            <w:r>
              <w:rPr>
                <w:bCs/>
                <w:b/>
              </w:rPr>
              <w:t xml:space="preserve">41,5</w:t>
            </w:r>
          </w:p>
        </w:tc>
        <w:tc>
          <w:tcPr/>
          <w:p>
            <w:pPr>
              <w:pStyle w:val="Compact"/>
              <w:jc w:val="left"/>
            </w:pPr>
            <w:r>
              <w:t xml:space="preserve">65,1</w:t>
            </w:r>
          </w:p>
        </w:tc>
        <w:tc>
          <w:tcPr/>
          <w:p>
            <w:pPr>
              <w:pStyle w:val="Compact"/>
              <w:jc w:val="left"/>
            </w:pPr>
            <w:r>
              <w:t xml:space="preserve">11,8</w:t>
            </w:r>
          </w:p>
        </w:tc>
        <w:tc>
          <w:tcPr/>
          <w:p>
            <w:pPr>
              <w:pStyle w:val="Compact"/>
              <w:jc w:val="left"/>
            </w:pPr>
            <w:r>
              <w:t xml:space="preserve">16,5</w:t>
            </w:r>
          </w:p>
        </w:tc>
        <w:tc>
          <w:tcPr/>
          <w:p>
            <w:pPr>
              <w:pStyle w:val="Compact"/>
              <w:jc w:val="left"/>
            </w:pPr>
            <w:r>
              <w:rPr>
                <w:bCs/>
                <w:b/>
              </w:rPr>
              <w:t xml:space="preserve">58,9</w:t>
            </w:r>
          </w:p>
        </w:tc>
      </w:tr>
    </w:tbl>
    <w:p>
      <w:pPr>
        <w:pStyle w:val="BodyText"/>
      </w:pPr>
      <w:r>
        <w:t xml:space="preserve">SIDS Thái Bình Dương thể hiện pattern</w:t>
      </w:r>
      <w:r>
        <w:t xml:space="preserve"> </w:t>
      </w:r>
      <w:r>
        <w:rPr>
          <w:bCs/>
          <w:b/>
        </w:rPr>
        <w:t xml:space="preserve">thích nghi và nhảy vọt số (adaptation + digital leapfrog)</w:t>
      </w:r>
      <w:r>
        <w:t xml:space="preserve">; phân tách rõ Năng lực công nghệ (TCI) so với Năng lực số (DAI) — kế thừa Đỗ &amp; Phan (2026 — VEFR).</w:t>
      </w:r>
    </w:p>
    <w:bookmarkEnd w:id="32"/>
    <w:bookmarkStart w:id="33" w:name="X0e36d2ac3de1653c330320ad0d0ed4280ae22ec"/>
    <w:p>
      <w:pPr>
        <w:pStyle w:val="Heading4"/>
      </w:pPr>
      <w:r>
        <w:t xml:space="preserve">4.4.5 Tái định hình "Năng lực số" — Tier-1 Digital Presence rebrand</w:t>
      </w:r>
    </w:p>
    <w:p>
      <w:pPr>
        <w:pStyle w:val="FirstParagraph"/>
      </w:pPr>
      <w:r>
        <w:t xml:space="preserve">Spec 1 (full coverage 2009–2025) dùng biến nhị phân duy nhất (</w:t>
      </w:r>
      <w:r>
        <w:rPr>
          <w:rStyle w:val="VerbatimChar"/>
        </w:rPr>
        <w:t xml:space="preserve">website</w:t>
      </w:r>
      <w:r>
        <w:t xml:space="preserve"> </w:t>
      </w:r>
      <w:r>
        <w:t xml:space="preserve">Y/N) đại diện cho "Năng lực số (DAI)". Trong khi đó TCI được đo bằng nhiều thành phần vững chắc (R&amp;D + ISO multi-component aspirational).</w:t>
      </w:r>
      <w:r>
        <w:t xml:space="preserve"> </w:t>
      </w:r>
      <w:r>
        <w:rPr>
          <w:bCs/>
          <w:b/>
        </w:rPr>
        <w:t xml:space="preserve">Hậu quả phân tích</w:t>
      </w:r>
      <w:r>
        <w:t xml:space="preserve">: hệ số -0,129 cho DAI ở Advanced trong Spec 1 gợi ý "số hóa làm giảm năng suất ở Singapore/Hàn Quốc/Hong Kong" — nhưng đây là</w:t>
      </w:r>
      <w:r>
        <w:t xml:space="preserve"> </w:t>
      </w:r>
      <w:r>
        <w:rPr>
          <w:bCs/>
          <w:b/>
        </w:rPr>
        <w:t xml:space="preserve">ảo ảnh thống kê</w:t>
      </w:r>
      <w:r>
        <w:t xml:space="preserve"> </w:t>
      </w:r>
      <w:r>
        <w:t xml:space="preserve">do đo lường sơ sài, không phải thực tế kinh tế. Như NotebookLM (2026,</w:t>
      </w:r>
      <w:r>
        <w:t xml:space="preserve"> </w:t>
      </w:r>
      <w:r>
        <w:rPr>
          <w:iCs/>
          <w:i/>
        </w:rPr>
        <w:t xml:space="preserve">Bẫy đo lường số hóa Châu Á</w:t>
      </w:r>
      <w:r>
        <w:t xml:space="preserve">) so sánh:</w:t>
      </w:r>
      <w:r>
        <w:t xml:space="preserve"> </w:t>
      </w:r>
      <w:r>
        <w:rPr>
          <w:iCs/>
          <w:i/>
        </w:rPr>
        <w:t xml:space="preserve">"Giống như cố đánh giá hiệu suất của mạng lưới logistic AI hiện đại nhưng dùng bản đồ trạm điện tín thế kỷ 19."</w:t>
      </w:r>
    </w:p>
    <w:p>
      <w:pPr>
        <w:pStyle w:val="BodyText"/>
      </w:pPr>
      <w:r>
        <w:rPr>
          <w:bCs/>
          <w:b/>
        </w:rPr>
        <w:t xml:space="preserve">Đề xuất rebrand v3.5</w:t>
      </w:r>
      <w:r>
        <w:t xml:space="preserve">: Đổi tên biến trong Spec 1 từ "DAI / Năng lực số / Chuyển đổi số" sang</w:t>
      </w:r>
      <w:r>
        <w:t xml:space="preserve"> </w:t>
      </w:r>
      <w:r>
        <w:rPr>
          <w:bCs/>
          <w:b/>
        </w:rPr>
        <w:t xml:space="preserve">"Sự hiện diện số cơ bản (Tier-1 Digital Presence)"</w:t>
      </w:r>
      <w:r>
        <w:t xml:space="preserve"> </w:t>
      </w:r>
      <w:r>
        <w:t xml:space="preserve">— phạm vi hẹp hơn, khiêm tốn hơn, thừa nhận rằng Spec 1 chỉ đo</w:t>
      </w:r>
      <w:r>
        <w:t xml:space="preserve"> </w:t>
      </w:r>
      <w:r>
        <w:rPr>
          <w:iCs/>
          <w:i/>
        </w:rPr>
        <w:t xml:space="preserve">"bức số hóa tài liệu"</w:t>
      </w:r>
      <w:r>
        <w:t xml:space="preserve"> </w:t>
      </w:r>
      <w:r>
        <w:t xml:space="preserve">(website binary), KHÔNG đo thay đổi mô hình kinh doanh hay digital transformation.</w:t>
      </w:r>
    </w:p>
    <w:p>
      <w:pPr>
        <w:pStyle w:val="BodyText"/>
      </w:pPr>
      <w:r>
        <w:rPr>
          <w:bCs/>
          <w:b/>
        </w:rPr>
        <w:t xml:space="preserve">ICT exclusion test (promoted từ §4.8 I2 lên thân Chương 4)</w:t>
      </w:r>
      <w:r>
        <w:t xml:space="preserve">: Khi loại bỏ ICT firms (mã ISIC J 58–63) khỏi Advanced phân nhóm innovation-driven, hệ số âm DAI (-0,129)</w:t>
      </w:r>
      <w:r>
        <w:t xml:space="preserve"> </w:t>
      </w:r>
      <w:r>
        <w:rPr>
          <w:bCs/>
          <w:b/>
        </w:rPr>
        <w:t xml:space="preserve">biến mất</w:t>
      </w:r>
      <w:r>
        <w:t xml:space="preserve"> </w:t>
      </w:r>
      <w:r>
        <w:t xml:space="preserve">→ bằng chứng cho</w:t>
      </w:r>
      <w:r>
        <w:t xml:space="preserve"> </w:t>
      </w:r>
      <w:r>
        <w:rPr>
          <w:bCs/>
          <w:b/>
        </w:rPr>
        <w:t xml:space="preserve">bão hòa Tier-1 ở các nước tiên tiến</w:t>
      </w:r>
      <w:r>
        <w:t xml:space="preserve"> </w:t>
      </w:r>
      <w:r>
        <w:t xml:space="preserve">(Sự hiện diện số cơ bản đã saturated từ trước 2018 ở Singapore/Hong Kong/Hàn Quốc/Đài Loan/Israel — Đỗ &amp; Phan, 2026 — VEFR p. 24). Việc đưa ICT exclusion test lên mạch chính (thay vì đẩy xuống phụ lục/CĐ2)</w:t>
      </w:r>
      <w:r>
        <w:t xml:space="preserve"> </w:t>
      </w:r>
      <w:r>
        <w:rPr>
          <w:bCs/>
          <w:b/>
        </w:rPr>
        <w:t xml:space="preserve">không chỉ sửa lỗi thống kê mà còn tạo ra lập luận sắc bén</w:t>
      </w:r>
      <w:r>
        <w:t xml:space="preserve">:</w:t>
      </w:r>
      <w:r>
        <w:t xml:space="preserve"> </w:t>
      </w:r>
      <w:r>
        <w:rPr>
          <w:iCs/>
          <w:i/>
        </w:rPr>
        <w:t xml:space="preserve">"Sự hiện diện số cơ bản đã bão hòa ở các nước tiên tiến từ lâu — vì vậy biến này không còn discriminate năng suất giữa các firms ở Advanced."</w:t>
      </w:r>
    </w:p>
    <w:p>
      <w:pPr>
        <w:pStyle w:val="BodyText"/>
      </w:pPr>
      <w:r>
        <w:rPr>
          <w:bCs/>
          <w:b/>
        </w:rPr>
        <w:t xml:space="preserve">Spec 1 vs Spec 2 — biểu đồ đối chiếu hai trục thời gian</w:t>
      </w:r>
      <w:r>
        <w:t xml:space="preserve"> </w:t>
      </w:r>
      <w:r>
        <w:rPr>
          <w:iCs/>
          <w:i/>
        </w:rPr>
        <w:t xml:space="preserve">(đề xuất Hình 4.X mới — đang chuẩn bị)</w:t>
      </w:r>
      <w:r>
        <w:t xml:space="preserve">: Spec 1 (single var website binary, 2009–2025) vs Spec 2 (composite DAI 5 thành phần: website + email + smartphone POS + e-commerce + cloud, 2018–2025) trên cùng trục thời gian — chứng minh hệ sinh thái số chuyển từ</w:t>
      </w:r>
      <w:r>
        <w:t xml:space="preserve"> </w:t>
      </w:r>
      <w:r>
        <w:rPr>
          <w:bCs/>
          <w:b/>
        </w:rPr>
        <w:t xml:space="preserve">trạng thái tĩnh "Tier-1 Digital Presence"</w:t>
      </w:r>
      <w:r>
        <w:t xml:space="preserve"> </w:t>
      </w:r>
      <w:r>
        <w:t xml:space="preserve">(chỉ documents online) sang</w:t>
      </w:r>
      <w:r>
        <w:t xml:space="preserve"> </w:t>
      </w:r>
      <w:r>
        <w:rPr>
          <w:bCs/>
          <w:b/>
        </w:rPr>
        <w:t xml:space="preserve">trạng thái động "Tier-2 Digital Transformation"</w:t>
      </w:r>
      <w:r>
        <w:t xml:space="preserve"> </w:t>
      </w:r>
      <w:r>
        <w:t xml:space="preserve">(business models reshaped — kế thừa Banalieva &amp; Dhanaraj, 2019 layered framework).</w:t>
      </w:r>
    </w:p>
    <w:bookmarkEnd w:id="33"/>
    <w:bookmarkStart w:id="34" w:name="Xc93e2c40efba7dc00d5f6210aea0ec8c7a942df"/>
    <w:p>
      <w:pPr>
        <w:pStyle w:val="Heading4"/>
      </w:pPr>
      <w:r>
        <w:t xml:space="preserve">4.4.5.1 Đối chiếu DAI xuyên quốc gia — Singapore (Tier 1+2) vs Việt Nam (Tier 1 only)</w:t>
      </w:r>
    </w:p>
    <w:p>
      <w:pPr>
        <w:pStyle w:val="BlockText"/>
      </w:pPr>
      <w:r>
        <w:rPr>
          <w:bCs/>
          <w:b/>
        </w:rPr>
        <w:t xml:space="preserve">Bằng chứng nền tảng</w:t>
      </w:r>
      <w:r>
        <w:t xml:space="preserve">: §2.7 file 14 v3.13 (Khung 4-Tier Verhoef + CDCM); P3 Singapore manuscript (Mar et al., 2026 —</w:t>
      </w:r>
      <w:r>
        <w:t xml:space="preserve"> </w:t>
      </w:r>
      <w:r>
        <w:rPr>
          <w:iCs/>
          <w:i/>
        </w:rPr>
        <w:t xml:space="preserve">MIR</w:t>
      </w:r>
      <w:r>
        <w:t xml:space="preserve">); P4 Việt Nam (Đỗ &amp; Phan, 2026 —</w:t>
      </w:r>
      <w:r>
        <w:t xml:space="preserve"> </w:t>
      </w:r>
      <w:r>
        <w:rPr>
          <w:iCs/>
          <w:i/>
        </w:rPr>
        <w:t xml:space="preserve">APJM</w:t>
      </w:r>
      <w:r>
        <w:t xml:space="preserve">).</w:t>
      </w:r>
    </w:p>
    <w:p>
      <w:pPr>
        <w:pStyle w:val="FirstParagraph"/>
      </w:pPr>
      <w:r>
        <w:t xml:space="preserve">NotebookLM critique 08/05/2026 chỉ ra</w:t>
      </w:r>
      <w:r>
        <w:t xml:space="preserve"> </w:t>
      </w:r>
      <w:r>
        <w:rPr>
          <w:bCs/>
          <w:b/>
        </w:rPr>
        <w:t xml:space="preserve">mâu thuẫn tử huyệt</w:t>
      </w:r>
      <w:r>
        <w:t xml:space="preserve"> </w:t>
      </w:r>
      <w:r>
        <w:t xml:space="preserve">giữa hai papers: Singapore (Tier 1+2 = website + e-payment) cho hệ số tương tác DAI×FSTS²</w:t>
      </w:r>
      <w:r>
        <w:t xml:space="preserve"> </w:t>
      </w:r>
      <w:r>
        <w:rPr>
          <w:bCs/>
          <w:b/>
        </w:rPr>
        <w:t xml:space="preserve">dương mạnh</w:t>
      </w:r>
      <w:r>
        <w:t xml:space="preserve"> </w:t>
      </w:r>
      <w:r>
        <w:t xml:space="preserve">(β=3,119, p=,005), trong khi Việt Nam (Tier 1 = website only) cho tương tác DAI×FSTS</w:t>
      </w:r>
      <w:r>
        <w:t xml:space="preserve"> </w:t>
      </w:r>
      <w:r>
        <w:rPr>
          <w:bCs/>
          <w:b/>
        </w:rPr>
        <w:t xml:space="preserve">âm</w:t>
      </w:r>
      <w:r>
        <w:t xml:space="preserve"> </w:t>
      </w:r>
      <w:r>
        <w:t xml:space="preserve">ở wave 2023 (β=-0,912, p=,043). Đây không phải mâu thuẫn ngẫu nhiên mà là</w:t>
      </w:r>
      <w:r>
        <w:t xml:space="preserve"> </w:t>
      </w:r>
      <w:r>
        <w:rPr>
          <w:bCs/>
          <w:b/>
        </w:rPr>
        <w:t xml:space="preserve">bằng chứng cho khung CDCM</w:t>
      </w:r>
      <w:r>
        <w:t xml:space="preserve"> </w:t>
      </w:r>
      <w:r>
        <w:t xml:space="preserve">— giá trị của công cụ số phụ thuộc độ tương thích giữa cấp độ số hóa và mật độ giao dịch quốc tế:</w:t>
      </w:r>
    </w:p>
    <w:p>
      <w:pPr>
        <w:pStyle w:val="BodyText"/>
      </w:pPr>
      <w:r>
        <w:rPr>
          <w:bCs/>
          <w:b/>
        </w:rPr>
        <w:t xml:space="preserve">Bảng 4.4.5.1</w:t>
      </w:r>
      <w:r>
        <w:t xml:space="preserve">.</w:t>
      </w:r>
      <w:r>
        <w:t xml:space="preserve"> </w:t>
      </w:r>
      <w:r>
        <w:rPr>
          <w:iCs/>
          <w:i/>
        </w:rPr>
        <w:t xml:space="preserve">Đối chiếu cơ chế DAI giữa hai bối cảnh thể chế (CDCM application).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Chiều</w:t>
            </w:r>
          </w:p>
        </w:tc>
        <w:tc>
          <w:tcPr/>
          <w:p>
            <w:pPr>
              <w:pStyle w:val="Compact"/>
              <w:jc w:val="left"/>
            </w:pPr>
            <w:r>
              <w:t xml:space="preserve">Singapore (Advanced innovation, 2023)</w:t>
            </w:r>
          </w:p>
        </w:tc>
        <w:tc>
          <w:tcPr/>
          <w:p>
            <w:pPr>
              <w:pStyle w:val="Compact"/>
              <w:jc w:val="left"/>
            </w:pPr>
            <w:r>
              <w:t xml:space="preserve">Việt Nam (Emerging, 2009-2023)</w:t>
            </w:r>
          </w:p>
        </w:tc>
      </w:tr>
      <w:tr>
        <w:tc>
          <w:tcPr/>
          <w:p>
            <w:pPr>
              <w:pStyle w:val="Compact"/>
              <w:jc w:val="left"/>
            </w:pPr>
            <w:r>
              <w:rPr>
                <w:bCs/>
                <w:b/>
              </w:rPr>
              <w:t xml:space="preserve">Cấp DAI</w:t>
            </w:r>
          </w:p>
        </w:tc>
        <w:tc>
          <w:tcPr/>
          <w:p>
            <w:pPr>
              <w:pStyle w:val="Compact"/>
              <w:jc w:val="left"/>
            </w:pPr>
            <w:r>
              <w:t xml:space="preserve">Tier 1+2 (website + cường độ thanh toán điện tử)</w:t>
            </w:r>
          </w:p>
        </w:tc>
        <w:tc>
          <w:tcPr/>
          <w:p>
            <w:pPr>
              <w:pStyle w:val="Compact"/>
              <w:jc w:val="left"/>
            </w:pPr>
            <w:r>
              <w:t xml:space="preserve">Tier 1 (website only)</w:t>
            </w:r>
          </w:p>
        </w:tc>
      </w:tr>
      <w:tr>
        <w:tc>
          <w:tcPr/>
          <w:p>
            <w:pPr>
              <w:pStyle w:val="Compact"/>
              <w:jc w:val="left"/>
            </w:pPr>
            <w:r>
              <w:rPr>
                <w:bCs/>
                <w:b/>
              </w:rPr>
              <w:t xml:space="preserve">Mẫu</w:t>
            </w:r>
          </w:p>
        </w:tc>
        <w:tc>
          <w:tcPr/>
          <w:p>
            <w:pPr>
              <w:pStyle w:val="Compact"/>
              <w:jc w:val="left"/>
            </w:pPr>
            <w:r>
              <w:t xml:space="preserve">n=623, cắt ngang 1 năm</w:t>
            </w:r>
          </w:p>
        </w:tc>
        <w:tc>
          <w:tcPr/>
          <w:p>
            <w:pPr>
              <w:pStyle w:val="Compact"/>
              <w:jc w:val="left"/>
            </w:pPr>
            <w:r>
              <w:t xml:space="preserve">n=2.958 firms × 3 wave</w:t>
            </w:r>
          </w:p>
        </w:tc>
      </w:tr>
      <w:tr>
        <w:tc>
          <w:tcPr/>
          <w:p>
            <w:pPr>
              <w:pStyle w:val="Compact"/>
              <w:jc w:val="left"/>
            </w:pPr>
            <w:r>
              <w:rPr>
                <w:bCs/>
                <w:b/>
              </w:rPr>
              <w:t xml:space="preserve">DAI direct effect</w:t>
            </w:r>
          </w:p>
        </w:tc>
        <w:tc>
          <w:tcPr/>
          <w:p>
            <w:pPr>
              <w:pStyle w:val="Compact"/>
              <w:jc w:val="left"/>
            </w:pPr>
            <w:r>
              <w:t xml:space="preserve">β=0,168, p&lt;,001 (dương ổn định)</w:t>
            </w:r>
          </w:p>
        </w:tc>
        <w:tc>
          <w:tcPr/>
          <w:p>
            <w:pPr>
              <w:pStyle w:val="Compact"/>
              <w:jc w:val="left"/>
            </w:pPr>
            <w:r>
              <w:t xml:space="preserve">Stage-contingent: 2009 mạnh → 2015 null (β=-0,044, p=,377) → 2023 phục hồi</w:t>
            </w:r>
          </w:p>
        </w:tc>
      </w:tr>
      <w:tr>
        <w:tc>
          <w:tcPr/>
          <w:p>
            <w:pPr>
              <w:pStyle w:val="Compact"/>
              <w:jc w:val="left"/>
            </w:pPr>
            <w:r>
              <w:rPr>
                <w:bCs/>
                <w:b/>
              </w:rPr>
              <w:t xml:space="preserve">DAI × FSTS² interaction</w:t>
            </w:r>
          </w:p>
        </w:tc>
        <w:tc>
          <w:tcPr/>
          <w:p>
            <w:pPr>
              <w:pStyle w:val="Compact"/>
              <w:jc w:val="left"/>
            </w:pPr>
            <w:r>
              <w:rPr>
                <w:bCs/>
                <w:b/>
              </w:rPr>
              <w:t xml:space="preserve">β=3,119, p=,005 (dương mạnh)</w:t>
            </w:r>
            <w:r>
              <w:t xml:space="preserve"> </w:t>
            </w:r>
            <w:r>
              <w:t xml:space="preserve">— conditional scaling resource ở xuất khẩu cao</w:t>
            </w:r>
          </w:p>
        </w:tc>
        <w:tc>
          <w:tcPr/>
          <w:p>
            <w:pPr>
              <w:pStyle w:val="Compact"/>
              <w:jc w:val="left"/>
            </w:pPr>
            <w:r>
              <w:rPr>
                <w:bCs/>
                <w:b/>
              </w:rPr>
              <w:t xml:space="preserve">β=-0,912, p=,043 (âm) ở 2023</w:t>
            </w:r>
            <w:r>
              <w:t xml:space="preserve"> </w:t>
            </w:r>
            <w:r>
              <w:t xml:space="preserve">— Tier 1 trở thành điểm nghẽn ở xuất khẩu cao</w:t>
            </w:r>
          </w:p>
        </w:tc>
      </w:tr>
      <w:tr>
        <w:tc>
          <w:tcPr/>
          <w:p>
            <w:pPr>
              <w:pStyle w:val="Compact"/>
              <w:jc w:val="left"/>
            </w:pPr>
            <w:r>
              <w:rPr>
                <w:bCs/>
                <w:b/>
              </w:rPr>
              <w:t xml:space="preserve">2SLS robustness (DAI)</w:t>
            </w:r>
          </w:p>
        </w:tc>
        <w:tc>
          <w:tcPr/>
          <w:p>
            <w:pPr>
              <w:pStyle w:val="Compact"/>
              <w:jc w:val="left"/>
            </w:pPr>
            <w:r>
              <w:t xml:space="preserve">(chưa kiểm định IV)</w:t>
            </w:r>
          </w:p>
        </w:tc>
        <w:tc>
          <w:tcPr/>
          <w:p>
            <w:pPr>
              <w:pStyle w:val="Compact"/>
              <w:jc w:val="left"/>
            </w:pPr>
            <w:r>
              <w:t xml:space="preserve">β co về 0,02, p=,94 —</w:t>
            </w:r>
            <w:r>
              <w:t xml:space="preserve"> </w:t>
            </w:r>
            <w:r>
              <w:rPr>
                <w:bCs/>
                <w:b/>
              </w:rPr>
              <w:t xml:space="preserve">không xác lập nhân quả</w:t>
            </w:r>
          </w:p>
        </w:tc>
      </w:tr>
      <w:tr>
        <w:tc>
          <w:tcPr/>
          <w:p>
            <w:pPr>
              <w:pStyle w:val="Compact"/>
              <w:jc w:val="left"/>
            </w:pPr>
            <w:r>
              <w:rPr>
                <w:bCs/>
                <w:b/>
              </w:rPr>
              <w:t xml:space="preserve">Cơ chế giải thích</w:t>
            </w:r>
          </w:p>
        </w:tc>
        <w:tc>
          <w:tcPr/>
          <w:p>
            <w:pPr>
              <w:pStyle w:val="Compact"/>
              <w:jc w:val="left"/>
            </w:pPr>
            <w:r>
              <w:t xml:space="preserve">Tier 1+2 hấp thụ super-linear coordination cost xuất khẩu cao (Brynjolfsson &amp; McAfee, 2014)</w:t>
            </w:r>
          </w:p>
        </w:tc>
        <w:tc>
          <w:tcPr/>
          <w:p>
            <w:pPr>
              <w:pStyle w:val="Compact"/>
              <w:jc w:val="left"/>
            </w:pPr>
            <w:r>
              <w:t xml:space="preserve">Tier 1 không quản lý nổi giao dịch lớn → khuếch đại quá tải thông tin</w:t>
            </w:r>
          </w:p>
        </w:tc>
      </w:tr>
    </w:tbl>
    <w:p>
      <w:pPr>
        <w:pStyle w:val="BodyText"/>
      </w:pPr>
      <w:r>
        <w:rPr>
          <w:bCs/>
          <w:b/>
        </w:rPr>
        <w:t xml:space="preserve">Hàm ý cho lập luận §4.4.5 hiện hành</w:t>
      </w:r>
      <w:r>
        <w:t xml:space="preserve">: Hệ số âm DAI ở Advanced trong Spec 1 (-0,129) không chỉ là</w:t>
      </w:r>
      <w:r>
        <w:t xml:space="preserve"> </w:t>
      </w:r>
      <w:r>
        <w:rPr>
          <w:iCs/>
          <w:i/>
        </w:rPr>
        <w:t xml:space="preserve">artifact của Tier-1 saturation</w:t>
      </w:r>
      <w:r>
        <w:t xml:space="preserve"> </w:t>
      </w:r>
      <w:r>
        <w:t xml:space="preserve">(đã lập luận v3.5) mà còn phản ánh</w:t>
      </w:r>
      <w:r>
        <w:t xml:space="preserve"> </w:t>
      </w:r>
      <w:r>
        <w:rPr>
          <w:bCs/>
          <w:b/>
        </w:rPr>
        <w:t xml:space="preserve">gãy đổ đo lường</w:t>
      </w:r>
      <w:r>
        <w:t xml:space="preserve"> </w:t>
      </w:r>
      <w:r>
        <w:t xml:space="preserve">(measurement break) khi Tier 1 không đủ sức quản lý giao dịch ở xuất khẩu cao. Khi mở rộng sang Tier 1+2 (Spec 2 với e-payment), hệ số dương mạnh emerges — replication pattern Singapore P3.</w:t>
      </w:r>
    </w:p>
    <w:p>
      <w:pPr>
        <w:pStyle w:val="BodyText"/>
      </w:pPr>
      <w:r>
        <w:rPr>
          <w:bCs/>
          <w:b/>
        </w:rPr>
        <w:t xml:space="preserve">Đề xuất phương pháp luận cho CĐ2</w:t>
      </w:r>
      <w:r>
        <w:t xml:space="preserve"> </w:t>
      </w:r>
      <w:r>
        <w:rPr>
          <w:iCs/>
          <w:i/>
        </w:rPr>
        <w:t xml:space="preserve">(robustness check #10)</w:t>
      </w:r>
      <w:r>
        <w:t xml:space="preserve">: Cross-validation construct boundary — chạy Spec 2 chỉ ở 41 nước có đủ Tier 1+2 data (BREADY+ wave); confirm rằng pattern Singapore-style (DAI × FSTS² dương) emerges khi có composite digital adoption metric. Nếu confirm → đóng góp lý thuyết mạnh cho CDCM (Đỗ &amp; Phan, 2026 mở rộng từ APJM sang luận án). Nếu không confirm → cần Tier 3 (ERP/CRM) hoặc Tier 4 (AI) để nắm cơ chế thực sự — hàm ý cho data collection tương lai (limitations §7.3.4 file 16).</w:t>
      </w:r>
    </w:p>
    <w:bookmarkEnd w:id="34"/>
    <w:bookmarkEnd w:id="35"/>
    <w:bookmarkStart w:id="41" w:name="X6e67086062c2d278d9098d05d76f4a8c0ad80a9"/>
    <w:p>
      <w:pPr>
        <w:pStyle w:val="Heading3"/>
      </w:pPr>
      <w:r>
        <w:t xml:space="preserve">4.5 Thực trạng cấu trúc doanh nghiệp</w:t>
      </w:r>
    </w:p>
    <w:p>
      <w:pPr>
        <w:pStyle w:val="FirstParagraph"/>
      </w:pPr>
      <w:r>
        <w:rPr>
          <w:bCs/>
          <w:b/>
        </w:rPr>
        <w:t xml:space="preserve">Bảng 4.5</w:t>
      </w:r>
      <w:r>
        <w:t xml:space="preserve">.</w:t>
      </w:r>
      <w:r>
        <w:t xml:space="preserve"> </w:t>
      </w:r>
      <w:r>
        <w:rPr>
          <w:iCs/>
          <w:i/>
        </w:rPr>
        <w:t xml:space="preserve">Cấu trúc doanh nghiệp theo phân nhóm con (%).</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Phân nhóm con</w:t>
            </w:r>
          </w:p>
        </w:tc>
        <w:tc>
          <w:tcPr/>
          <w:p>
            <w:pPr>
              <w:pStyle w:val="Compact"/>
              <w:jc w:val="left"/>
            </w:pPr>
            <w:r>
              <w:t xml:space="preserve">SME</w:t>
            </w:r>
          </w:p>
        </w:tc>
        <w:tc>
          <w:tcPr/>
          <w:p>
            <w:pPr>
              <w:pStyle w:val="Compact"/>
              <w:jc w:val="left"/>
            </w:pPr>
            <w:r>
              <w:t xml:space="preserve">Doanh nghiệp xuất khẩu</w:t>
            </w:r>
          </w:p>
        </w:tc>
        <w:tc>
          <w:tcPr/>
          <w:p>
            <w:pPr>
              <w:pStyle w:val="Compact"/>
              <w:jc w:val="left"/>
            </w:pPr>
            <w:r>
              <w:t xml:space="preserve">FDI ≥10%</w:t>
            </w:r>
          </w:p>
        </w:tc>
      </w:tr>
      <w:tr>
        <w:tc>
          <w:tcPr/>
          <w:p>
            <w:pPr>
              <w:pStyle w:val="Compact"/>
              <w:jc w:val="left"/>
            </w:pPr>
            <w:r>
              <w:t xml:space="preserve">Advanced</w:t>
            </w:r>
          </w:p>
        </w:tc>
        <w:tc>
          <w:tcPr/>
          <w:p>
            <w:pPr>
              <w:pStyle w:val="Compact"/>
              <w:jc w:val="left"/>
            </w:pPr>
            <w:r>
              <w:t xml:space="preserve">79,1</w:t>
            </w:r>
          </w:p>
        </w:tc>
        <w:tc>
          <w:tcPr/>
          <w:p>
            <w:pPr>
              <w:pStyle w:val="Compact"/>
              <w:jc w:val="left"/>
            </w:pPr>
            <w:r>
              <w:t xml:space="preserve">23,0</w:t>
            </w:r>
          </w:p>
        </w:tc>
        <w:tc>
          <w:tcPr/>
          <w:p>
            <w:pPr>
              <w:pStyle w:val="Compact"/>
              <w:jc w:val="left"/>
            </w:pPr>
            <w:r>
              <w:t xml:space="preserve">11,1</w:t>
            </w:r>
          </w:p>
        </w:tc>
      </w:tr>
      <w:tr>
        <w:tc>
          <w:tcPr/>
          <w:p>
            <w:pPr>
              <w:pStyle w:val="Compact"/>
              <w:jc w:val="left"/>
            </w:pPr>
            <w:r>
              <w:t xml:space="preserve">Upper-middle</w:t>
            </w:r>
          </w:p>
        </w:tc>
        <w:tc>
          <w:tcPr/>
          <w:p>
            <w:pPr>
              <w:pStyle w:val="Compact"/>
              <w:jc w:val="left"/>
            </w:pPr>
            <w:r>
              <w:t xml:space="preserve">76,2</w:t>
            </w:r>
          </w:p>
        </w:tc>
        <w:tc>
          <w:tcPr/>
          <w:p>
            <w:pPr>
              <w:pStyle w:val="Compact"/>
              <w:jc w:val="left"/>
            </w:pPr>
            <w:r>
              <w:t xml:space="preserve">21,7</w:t>
            </w:r>
          </w:p>
        </w:tc>
        <w:tc>
          <w:tcPr/>
          <w:p>
            <w:pPr>
              <w:pStyle w:val="Compact"/>
              <w:jc w:val="left"/>
            </w:pPr>
            <w:r>
              <w:t xml:space="preserve">8,4</w:t>
            </w:r>
          </w:p>
        </w:tc>
      </w:tr>
      <w:tr>
        <w:tc>
          <w:tcPr/>
          <w:p>
            <w:pPr>
              <w:pStyle w:val="Compact"/>
              <w:jc w:val="left"/>
            </w:pPr>
            <w:r>
              <w:t xml:space="preserve">Emerging</w:t>
            </w:r>
          </w:p>
        </w:tc>
        <w:tc>
          <w:tcPr/>
          <w:p>
            <w:pPr>
              <w:pStyle w:val="Compact"/>
              <w:jc w:val="left"/>
            </w:pPr>
            <w:r>
              <w:t xml:space="preserve">74,4</w:t>
            </w:r>
          </w:p>
        </w:tc>
        <w:tc>
          <w:tcPr/>
          <w:p>
            <w:pPr>
              <w:pStyle w:val="Compact"/>
              <w:jc w:val="left"/>
            </w:pPr>
            <w:r>
              <w:t xml:space="preserve">15,5</w:t>
            </w:r>
          </w:p>
        </w:tc>
        <w:tc>
          <w:tcPr/>
          <w:p>
            <w:pPr>
              <w:pStyle w:val="Compact"/>
              <w:jc w:val="left"/>
            </w:pPr>
            <w:r>
              <w:t xml:space="preserve">4,7</w:t>
            </w:r>
          </w:p>
        </w:tc>
      </w:tr>
      <w:tr>
        <w:tc>
          <w:tcPr/>
          <w:p>
            <w:pPr>
              <w:pStyle w:val="Compact"/>
              <w:jc w:val="left"/>
            </w:pPr>
            <w:r>
              <w:t xml:space="preserve">Frontier</w:t>
            </w:r>
          </w:p>
        </w:tc>
        <w:tc>
          <w:tcPr/>
          <w:p>
            <w:pPr>
              <w:pStyle w:val="Compact"/>
              <w:jc w:val="left"/>
            </w:pPr>
            <w:r>
              <w:t xml:space="preserve">85,0</w:t>
            </w:r>
          </w:p>
        </w:tc>
        <w:tc>
          <w:tcPr/>
          <w:p>
            <w:pPr>
              <w:pStyle w:val="Compact"/>
              <w:jc w:val="left"/>
            </w:pPr>
            <w:r>
              <w:t xml:space="preserve">16,5</w:t>
            </w:r>
          </w:p>
        </w:tc>
        <w:tc>
          <w:tcPr/>
          <w:p>
            <w:pPr>
              <w:pStyle w:val="Compact"/>
              <w:jc w:val="left"/>
            </w:pPr>
            <w:r>
              <w:t xml:space="preserve">5,9</w:t>
            </w:r>
          </w:p>
        </w:tc>
      </w:tr>
      <w:tr>
        <w:tc>
          <w:tcPr/>
          <w:p>
            <w:pPr>
              <w:pStyle w:val="Compact"/>
              <w:jc w:val="left"/>
            </w:pPr>
            <w:r>
              <w:t xml:space="preserve">SIDS Thái Bình Dương</w:t>
            </w:r>
          </w:p>
        </w:tc>
        <w:tc>
          <w:tcPr/>
          <w:p>
            <w:pPr>
              <w:pStyle w:val="Compact"/>
              <w:jc w:val="left"/>
            </w:pPr>
            <w:r>
              <w:rPr>
                <w:bCs/>
                <w:b/>
              </w:rPr>
              <w:t xml:space="preserve">88,5</w:t>
            </w:r>
          </w:p>
        </w:tc>
        <w:tc>
          <w:tcPr/>
          <w:p>
            <w:pPr>
              <w:pStyle w:val="Compact"/>
              <w:jc w:val="left"/>
            </w:pPr>
            <w:r>
              <w:t xml:space="preserve">16,3</w:t>
            </w:r>
          </w:p>
        </w:tc>
        <w:tc>
          <w:tcPr/>
          <w:p>
            <w:pPr>
              <w:pStyle w:val="Compact"/>
              <w:jc w:val="left"/>
            </w:pPr>
            <w:r>
              <w:rPr>
                <w:bCs/>
                <w:b/>
              </w:rPr>
              <w:t xml:space="preserve">23,5</w:t>
            </w:r>
          </w:p>
        </w:tc>
      </w:tr>
    </w:tbl>
    <w:p>
      <w:pPr>
        <w:pStyle w:val="BodyText"/>
      </w:pPr>
      <w:r>
        <w:t xml:space="preserve">Tỷ lệ FDI có dạng chữ U với cực tiểu ở Emerging. SIDS cao nhất do du lịch (tourism) và viễn thông được dẫn dắt bởi doanh nghiệp đa quốc gia (MNE-driven).</w:t>
      </w:r>
    </w:p>
    <w:p>
      <w:pPr>
        <w:pStyle w:val="BodyText"/>
      </w:pPr>
      <w:r>
        <w:drawing>
          <wp:inline>
            <wp:extent cx="5753100" cy="3545232"/>
            <wp:effectExtent b="0" l="0" r="0" t="0"/>
            <wp:docPr descr="Hình 4.6 — Phân phối quy mô doanh nghiệp theo phân nhóm con (n=101.185)" title="" id="37" name="Picture"/>
            <a:graphic>
              <a:graphicData uri="http://schemas.openxmlformats.org/drawingml/2006/picture">
                <pic:pic>
                  <pic:nvPicPr>
                    <pic:cNvPr descr="figures/fig_4_6_firm_size.png" id="38" name="Picture"/>
                    <pic:cNvPicPr>
                      <a:picLocks noChangeArrowheads="1" noChangeAspect="1"/>
                    </pic:cNvPicPr>
                  </pic:nvPicPr>
                  <pic:blipFill>
                    <a:blip r:embed="rId36"/>
                    <a:stretch>
                      <a:fillRect/>
                    </a:stretch>
                  </pic:blipFill>
                  <pic:spPr bwMode="auto">
                    <a:xfrm>
                      <a:off x="0" y="0"/>
                      <a:ext cx="5753100" cy="3545232"/>
                    </a:xfrm>
                    <a:prstGeom prst="rect">
                      <a:avLst/>
                    </a:prstGeom>
                    <a:noFill/>
                    <a:ln w="9525">
                      <a:noFill/>
                      <a:headEnd/>
                      <a:tailEnd/>
                    </a:ln>
                  </pic:spPr>
                </pic:pic>
              </a:graphicData>
            </a:graphic>
          </wp:inline>
        </w:drawing>
      </w:r>
    </w:p>
    <w:p>
      <w:pPr>
        <w:pStyle w:val="BodyText"/>
      </w:pPr>
      <w:r>
        <w:rPr>
          <w:iCs/>
          <w:i/>
        </w:rPr>
        <w:t xml:space="preserve">Hình 4.6. Stacked bar chart cho thấy SIDS Pacific có tỷ lệ SME cao nhất (88,5%), Frontier kế tiếp (85,0%), Advanced thấp nhất (79,1%). Pattern phù hợp với cấu trúc kinh tế khu vực — SIDS thị trường nhỏ phụ thuộc SME; Advanced có nhiều doanh nghiệp lớn. Tái lập:</w:t>
      </w:r>
      <w:r>
        <w:rPr>
          <w:iCs/>
          <w:i/>
        </w:rPr>
        <w:t xml:space="preserve"> </w:t>
      </w:r>
      <w:r>
        <w:rPr>
          <w:rStyle w:val="VerbatimChar"/>
          <w:iCs/>
          <w:i/>
        </w:rPr>
        <w:t xml:space="preserve">generate_figures.py</w:t>
      </w:r>
      <w:r>
        <w:rPr>
          <w:iCs/>
          <w:i/>
        </w:rPr>
        <w:t xml:space="preserve"> </w:t>
      </w:r>
      <w:r>
        <w:rPr>
          <w:iCs/>
          <w:i/>
        </w:rPr>
        <w:t xml:space="preserve">function</w:t>
      </w:r>
      <w:r>
        <w:rPr>
          <w:iCs/>
          <w:i/>
        </w:rPr>
        <w:t xml:space="preserve"> </w:t>
      </w:r>
      <w:r>
        <w:rPr>
          <w:rStyle w:val="VerbatimChar"/>
          <w:iCs/>
          <w:i/>
        </w:rPr>
        <w:t xml:space="preserve">fig_4_6_firm_size()</w:t>
      </w:r>
      <w:r>
        <w:rPr>
          <w:iCs/>
          <w:i/>
        </w:rPr>
        <w:t xml:space="preserve">.</w:t>
      </w:r>
    </w:p>
    <w:bookmarkStart w:id="39" w:name="X9476a1a8fffd24dba67dea0749f7b6a1e9907cc"/>
    <w:p>
      <w:pPr>
        <w:pStyle w:val="Heading4"/>
      </w:pPr>
      <w:r>
        <w:t xml:space="preserve">4.5.5 Bốn rào cản hàng đầu của khu vực tư nhân Á-Thái — bằng chứng từ WBES</w:t>
      </w:r>
    </w:p>
    <w:p>
      <w:pPr>
        <w:pStyle w:val="BlockText"/>
      </w:pPr>
      <w:r>
        <w:rPr>
          <w:bCs/>
          <w:b/>
        </w:rPr>
        <w:t xml:space="preserve">Nguồn chuẩn</w:t>
      </w:r>
      <w:r>
        <w:t xml:space="preserve">: World Bank (n.d.).</w:t>
      </w:r>
      <w:r>
        <w:t xml:space="preserve"> </w:t>
      </w:r>
      <w:r>
        <w:rPr>
          <w:iCs/>
          <w:i/>
        </w:rPr>
        <w:t xml:space="preserve">Tài liệu tóm tắt: Các chỉ số khảo sát doanh nghiệp Enterprise Surveys</w:t>
      </w:r>
      <w:r>
        <w:t xml:space="preserve"> </w:t>
      </w:r>
      <w:r>
        <w:t xml:space="preserve">(file 04 v2.5 Section L). Cross-cite glossary v1.2 Nhóm 7 #61 (commit beb47d3).</w:t>
      </w:r>
    </w:p>
    <w:p>
      <w:pPr>
        <w:pStyle w:val="FirstParagraph"/>
      </w:pPr>
      <w:r>
        <w:t xml:space="preserve">WBES chính thức xác định</w:t>
      </w:r>
      <w:r>
        <w:t xml:space="preserve"> </w:t>
      </w:r>
      <w:r>
        <w:rPr>
          <w:bCs/>
          <w:b/>
        </w:rPr>
        <w:t xml:space="preserve">4 rào cản hàng đầu (top 4 barriers)</w:t>
      </w:r>
      <w:r>
        <w:t xml:space="preserve"> </w:t>
      </w:r>
      <w:r>
        <w:t xml:space="preserve">đối với khu vực tư nhân ở các nền kinh tế đang phát triển và mới nổi Á-Thái Bình Dương — phù hợp với pool 101.185 doanh nghiệp của chuyên đề này. Bốn rào cản này tạo thành</w:t>
      </w:r>
      <w:r>
        <w:t xml:space="preserve"> </w:t>
      </w:r>
      <w:r>
        <w:rPr>
          <w:bCs/>
          <w:b/>
        </w:rPr>
        <w:t xml:space="preserve">khung phân tích cấu trúc</w:t>
      </w:r>
      <w:r>
        <w:t xml:space="preserve"> </w:t>
      </w:r>
      <w:r>
        <w:t xml:space="preserve">(structural framework) bổ sung cho 5 lĩnh vực chỉ số WBES được phân tích trong §4.4 (đổi mới + năng lực số) và §4.5 (cấu trúc doanh nghiệp). Bảng phân tầng theo 4 phân nhóm con thể chế:</w:t>
      </w:r>
    </w:p>
    <w:p>
      <w:pPr>
        <w:pStyle w:val="BodyText"/>
      </w:pPr>
      <w:r>
        <w:rPr>
          <w:bCs/>
          <w:b/>
        </w:rPr>
        <w:t xml:space="preserve">Bảng 4.5.5</w:t>
      </w:r>
      <w:r>
        <w:t xml:space="preserve">.</w:t>
      </w:r>
      <w:r>
        <w:t xml:space="preserve"> </w:t>
      </w:r>
      <w:r>
        <w:rPr>
          <w:iCs/>
          <w:i/>
        </w:rPr>
        <w:t xml:space="preserve">Bốn rào cản hàng đầu Asia-Pacific WBES — phân tầng theo phân nhóm con thể chế (cảm quan định tính + vào sâu chương trình CĐ2).</w:t>
      </w:r>
    </w:p>
    <w:tbl>
      <w:tblPr>
        <w:tblStyle w:val="Table"/>
        <w:tblW w:type="auto" w:w="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w:t>
            </w:r>
          </w:p>
        </w:tc>
        <w:tc>
          <w:tcPr/>
          <w:p>
            <w:pPr>
              <w:pStyle w:val="Compact"/>
              <w:jc w:val="left"/>
            </w:pPr>
            <w:r>
              <w:t xml:space="preserve">Rào cản</w:t>
            </w:r>
          </w:p>
        </w:tc>
        <w:tc>
          <w:tcPr/>
          <w:p>
            <w:pPr>
              <w:pStyle w:val="Compact"/>
              <w:jc w:val="left"/>
            </w:pPr>
            <w:r>
              <w:t xml:space="preserve">Tiếng Anh chuẩn WB</w:t>
            </w:r>
          </w:p>
        </w:tc>
        <w:tc>
          <w:tcPr/>
          <w:p>
            <w:pPr>
              <w:pStyle w:val="Compact"/>
              <w:jc w:val="left"/>
            </w:pPr>
            <w:r>
              <w:t xml:space="preserve">Cường độ Frontier</w:t>
            </w:r>
          </w:p>
        </w:tc>
        <w:tc>
          <w:tcPr/>
          <w:p>
            <w:pPr>
              <w:pStyle w:val="Compact"/>
              <w:jc w:val="left"/>
            </w:pPr>
            <w:r>
              <w:t xml:space="preserve">Cường độ Emerging</w:t>
            </w:r>
          </w:p>
        </w:tc>
        <w:tc>
          <w:tcPr/>
          <w:p>
            <w:pPr>
              <w:pStyle w:val="Compact"/>
              <w:jc w:val="left"/>
            </w:pPr>
            <w:r>
              <w:t xml:space="preserve">Cường độ Upper-middle</w:t>
            </w:r>
          </w:p>
        </w:tc>
        <w:tc>
          <w:tcPr/>
          <w:p>
            <w:pPr>
              <w:pStyle w:val="Compact"/>
              <w:jc w:val="left"/>
            </w:pPr>
            <w:r>
              <w:t xml:space="preserve">Cường độ Advanced</w:t>
            </w:r>
          </w:p>
        </w:tc>
        <w:tc>
          <w:tcPr/>
          <w:p>
            <w:pPr>
              <w:pStyle w:val="Compact"/>
              <w:jc w:val="left"/>
            </w:pPr>
            <w:r>
              <w:t xml:space="preserve">Lý thuyết liên kết</w:t>
            </w:r>
          </w:p>
        </w:tc>
      </w:tr>
      <w:tr>
        <w:tc>
          <w:tcPr/>
          <w:p>
            <w:pPr>
              <w:pStyle w:val="Compact"/>
              <w:jc w:val="left"/>
            </w:pPr>
            <w:r>
              <w:t xml:space="preserve">(1)</w:t>
            </w:r>
          </w:p>
        </w:tc>
        <w:tc>
          <w:tcPr/>
          <w:p>
            <w:pPr>
              <w:pStyle w:val="Compact"/>
              <w:jc w:val="left"/>
            </w:pPr>
            <w:r>
              <w:rPr>
                <w:bCs/>
                <w:b/>
              </w:rPr>
              <w:t xml:space="preserve">Tiếp cận tài chính</w:t>
            </w:r>
            <w:r>
              <w:t xml:space="preserve"> </w:t>
            </w:r>
            <w:r>
              <w:rPr>
                <w:iCs/>
                <w:i/>
              </w:rPr>
              <w:t xml:space="preserve">(Hạn chế tín dụng)</w:t>
            </w:r>
          </w:p>
        </w:tc>
        <w:tc>
          <w:tcPr/>
          <w:p>
            <w:pPr>
              <w:pStyle w:val="Compact"/>
              <w:jc w:val="left"/>
            </w:pPr>
            <w:r>
              <w:t xml:space="preserve">Credit constraint / Access to finance</w:t>
            </w:r>
          </w:p>
        </w:tc>
        <w:tc>
          <w:tcPr/>
          <w:p>
            <w:pPr>
              <w:pStyle w:val="Compact"/>
              <w:jc w:val="left"/>
            </w:pPr>
            <w:r>
              <w:t xml:space="preserve">Cao</w:t>
            </w:r>
          </w:p>
        </w:tc>
        <w:tc>
          <w:tcPr/>
          <w:p>
            <w:pPr>
              <w:pStyle w:val="Compact"/>
              <w:jc w:val="left"/>
            </w:pPr>
            <w:r>
              <w:t xml:space="preserve">Cao</w:t>
            </w:r>
          </w:p>
        </w:tc>
        <w:tc>
          <w:tcPr/>
          <w:p>
            <w:pPr>
              <w:pStyle w:val="Compact"/>
              <w:jc w:val="left"/>
            </w:pPr>
            <w:r>
              <w:t xml:space="preserve">Trung bình</w:t>
            </w:r>
          </w:p>
        </w:tc>
        <w:tc>
          <w:tcPr/>
          <w:p>
            <w:pPr>
              <w:pStyle w:val="Compact"/>
              <w:jc w:val="left"/>
            </w:pPr>
            <w:r>
              <w:t xml:space="preserve">Thấp</w:t>
            </w:r>
          </w:p>
        </w:tc>
        <w:tc>
          <w:tcPr/>
          <w:p>
            <w:pPr>
              <w:pStyle w:val="Compact"/>
              <w:jc w:val="left"/>
            </w:pPr>
            <w:r>
              <w:t xml:space="preserve">Aguinis et al. (2011) — formative composite measurement; Coltman et al. (2008) construct validation cho credit access</w:t>
            </w:r>
          </w:p>
        </w:tc>
      </w:tr>
      <w:tr>
        <w:tc>
          <w:tcPr/>
          <w:p>
            <w:pPr>
              <w:pStyle w:val="Compact"/>
              <w:jc w:val="left"/>
            </w:pPr>
            <w:r>
              <w:t xml:space="preserve">(2)</w:t>
            </w:r>
          </w:p>
        </w:tc>
        <w:tc>
          <w:tcPr/>
          <w:p>
            <w:pPr>
              <w:pStyle w:val="Compact"/>
              <w:jc w:val="left"/>
            </w:pPr>
            <w:r>
              <w:rPr>
                <w:bCs/>
                <w:b/>
              </w:rPr>
              <w:t xml:space="preserve">Lực lượng lao động thiếu kỹ năng</w:t>
            </w:r>
          </w:p>
        </w:tc>
        <w:tc>
          <w:tcPr/>
          <w:p>
            <w:pPr>
              <w:pStyle w:val="Compact"/>
              <w:jc w:val="left"/>
            </w:pPr>
            <w:r>
              <w:t xml:space="preserve">Skilled labor shortage / Workforce skill gap</w:t>
            </w:r>
          </w:p>
        </w:tc>
        <w:tc>
          <w:tcPr/>
          <w:p>
            <w:pPr>
              <w:pStyle w:val="Compact"/>
              <w:jc w:val="left"/>
            </w:pPr>
            <w:r>
              <w:t xml:space="preserve">Cao</w:t>
            </w:r>
          </w:p>
        </w:tc>
        <w:tc>
          <w:tcPr/>
          <w:p>
            <w:pPr>
              <w:pStyle w:val="Compact"/>
              <w:jc w:val="left"/>
            </w:pPr>
            <w:r>
              <w:t xml:space="preserve">Trung bình</w:t>
            </w:r>
          </w:p>
        </w:tc>
        <w:tc>
          <w:tcPr/>
          <w:p>
            <w:pPr>
              <w:pStyle w:val="Compact"/>
              <w:jc w:val="left"/>
            </w:pPr>
            <w:r>
              <w:t xml:space="preserve">Trung bình</w:t>
            </w:r>
          </w:p>
        </w:tc>
        <w:tc>
          <w:tcPr/>
          <w:p>
            <w:pPr>
              <w:pStyle w:val="Compact"/>
              <w:jc w:val="left"/>
            </w:pPr>
            <w:r>
              <w:t xml:space="preserve">Thấp</w:t>
            </w:r>
          </w:p>
        </w:tc>
        <w:tc>
          <w:tcPr/>
          <w:p>
            <w:pPr>
              <w:pStyle w:val="Compact"/>
              <w:jc w:val="left"/>
            </w:pPr>
            <w:r>
              <w:t xml:space="preserve">Cohen &amp; Levinthal (1990) — absorptive capacity; Kafouros et al. (2023) — institutional quality moderation tech-dynamism</w:t>
            </w:r>
          </w:p>
        </w:tc>
      </w:tr>
      <w:tr>
        <w:tc>
          <w:tcPr/>
          <w:p>
            <w:pPr>
              <w:pStyle w:val="Compact"/>
              <w:jc w:val="left"/>
            </w:pPr>
            <w:r>
              <w:t xml:space="preserve">(3)</w:t>
            </w:r>
          </w:p>
        </w:tc>
        <w:tc>
          <w:tcPr/>
          <w:p>
            <w:pPr>
              <w:pStyle w:val="Compact"/>
              <w:jc w:val="left"/>
            </w:pPr>
            <w:r>
              <w:rPr>
                <w:bCs/>
                <w:b/>
              </w:rPr>
              <w:t xml:space="preserve">Cạnh tranh từ doanh nghiệp phi chính thức</w:t>
            </w:r>
          </w:p>
        </w:tc>
        <w:tc>
          <w:tcPr/>
          <w:p>
            <w:pPr>
              <w:pStyle w:val="Compact"/>
              <w:jc w:val="left"/>
            </w:pPr>
            <w:r>
              <w:t xml:space="preserve">Informal sector competition</w:t>
            </w:r>
          </w:p>
        </w:tc>
        <w:tc>
          <w:tcPr/>
          <w:p>
            <w:pPr>
              <w:pStyle w:val="Compact"/>
              <w:jc w:val="left"/>
            </w:pPr>
            <w:r>
              <w:t xml:space="preserve">Cao</w:t>
            </w:r>
          </w:p>
        </w:tc>
        <w:tc>
          <w:tcPr/>
          <w:p>
            <w:pPr>
              <w:pStyle w:val="Compact"/>
              <w:jc w:val="left"/>
            </w:pPr>
            <w:r>
              <w:t xml:space="preserve">Cao</w:t>
            </w:r>
          </w:p>
        </w:tc>
        <w:tc>
          <w:tcPr/>
          <w:p>
            <w:pPr>
              <w:pStyle w:val="Compact"/>
              <w:jc w:val="left"/>
            </w:pPr>
            <w:r>
              <w:t xml:space="preserve">Trung bình</w:t>
            </w:r>
          </w:p>
        </w:tc>
        <w:tc>
          <w:tcPr/>
          <w:p>
            <w:pPr>
              <w:pStyle w:val="Compact"/>
              <w:jc w:val="left"/>
            </w:pPr>
            <w:r>
              <w:t xml:space="preserve">Thấp</w:t>
            </w:r>
          </w:p>
        </w:tc>
        <w:tc>
          <w:tcPr/>
          <w:p>
            <w:pPr>
              <w:pStyle w:val="Compact"/>
              <w:jc w:val="left"/>
            </w:pPr>
            <w:r>
              <w:t xml:space="preserve">Khanna &amp; Palepu (2010) — institutional voids; La Porta &amp; Shleifer (2008, 2014) shadow economy share</w:t>
            </w:r>
          </w:p>
        </w:tc>
      </w:tr>
      <w:tr>
        <w:tc>
          <w:tcPr/>
          <w:p>
            <w:pPr>
              <w:pStyle w:val="Compact"/>
              <w:jc w:val="left"/>
            </w:pPr>
            <w:r>
              <w:t xml:space="preserve">(4)</w:t>
            </w:r>
          </w:p>
        </w:tc>
        <w:tc>
          <w:tcPr/>
          <w:p>
            <w:pPr>
              <w:pStyle w:val="Compact"/>
              <w:jc w:val="left"/>
            </w:pPr>
            <w:r>
              <w:rPr>
                <w:bCs/>
                <w:b/>
              </w:rPr>
              <w:t xml:space="preserve">Nguồn cung điện không đáng tin cậy</w:t>
            </w:r>
          </w:p>
        </w:tc>
        <w:tc>
          <w:tcPr/>
          <w:p>
            <w:pPr>
              <w:pStyle w:val="Compact"/>
              <w:jc w:val="left"/>
            </w:pPr>
            <w:r>
              <w:t xml:space="preserve">Unreliable electricity supply / Power outages</w:t>
            </w:r>
          </w:p>
        </w:tc>
        <w:tc>
          <w:tcPr/>
          <w:p>
            <w:pPr>
              <w:pStyle w:val="Compact"/>
              <w:jc w:val="left"/>
            </w:pPr>
            <w:r>
              <w:t xml:space="preserve">Cao (đặc biệt SIDS, Frontier)</w:t>
            </w:r>
          </w:p>
        </w:tc>
        <w:tc>
          <w:tcPr/>
          <w:p>
            <w:pPr>
              <w:pStyle w:val="Compact"/>
              <w:jc w:val="left"/>
            </w:pPr>
            <w:r>
              <w:t xml:space="preserve">Trung bình</w:t>
            </w:r>
          </w:p>
        </w:tc>
        <w:tc>
          <w:tcPr/>
          <w:p>
            <w:pPr>
              <w:pStyle w:val="Compact"/>
              <w:jc w:val="left"/>
            </w:pPr>
            <w:r>
              <w:t xml:space="preserve">Thấp</w:t>
            </w:r>
          </w:p>
        </w:tc>
        <w:tc>
          <w:tcPr/>
          <w:p>
            <w:pPr>
              <w:pStyle w:val="Compact"/>
              <w:jc w:val="left"/>
            </w:pPr>
            <w:r>
              <w:t xml:space="preserve">Thấp</w:t>
            </w:r>
          </w:p>
        </w:tc>
        <w:tc>
          <w:tcPr/>
          <w:p>
            <w:pPr>
              <w:pStyle w:val="Compact"/>
              <w:jc w:val="left"/>
            </w:pPr>
            <w:r>
              <w:t xml:space="preserve">IFC PSD Blueprint operational resources pillar; Banerjee &amp; Duflo (2014) infrastructure productivity links</w:t>
            </w:r>
          </w:p>
        </w:tc>
      </w:tr>
    </w:tbl>
    <w:p>
      <w:pPr>
        <w:pStyle w:val="BodyText"/>
      </w:pPr>
      <w:r>
        <w:rPr>
          <w:bCs/>
          <w:b/>
        </w:rPr>
        <w:t xml:space="preserve">Bốn nhận xét</w:t>
      </w:r>
      <w:r>
        <w:t xml:space="preserve"> </w:t>
      </w:r>
      <w:r>
        <w:t xml:space="preserve">(cập nhật theo WBES Asia-Pacific 2018–2025):</w:t>
      </w:r>
    </w:p>
    <w:p>
      <w:pPr>
        <w:pStyle w:val="BodyText"/>
      </w:pPr>
      <w:r>
        <w:t xml:space="preserve">(a)</w:t>
      </w:r>
      <w:r>
        <w:t xml:space="preserve"> </w:t>
      </w:r>
      <w:r>
        <w:rPr>
          <w:bCs/>
          <w:b/>
        </w:rPr>
        <w:t xml:space="preserve">Rào cản 1 — Hạn chế tín dụng</w:t>
      </w:r>
      <w:r>
        <w:t xml:space="preserve">: Hơn 30% doanh nghiệp ở Frontier và Emerging xem</w:t>
      </w:r>
      <w:r>
        <w:t xml:space="preserve"> </w:t>
      </w:r>
      <w:r>
        <w:rPr>
          <w:bCs/>
          <w:b/>
        </w:rPr>
        <w:t xml:space="preserve">hạn chế tiếp cận tín dụng (credit constraint)</w:t>
      </w:r>
      <w:r>
        <w:t xml:space="preserve"> </w:t>
      </w:r>
      <w:r>
        <w:t xml:space="preserve">là rào cản trên trung bình. Pattern phù hợp giả thuyết</w:t>
      </w:r>
      <w:r>
        <w:t xml:space="preserve"> </w:t>
      </w:r>
      <w:r>
        <w:rPr>
          <w:bCs/>
          <w:b/>
        </w:rPr>
        <w:t xml:space="preserve">khoảng trống thể chế (institutional voids)</w:t>
      </w:r>
      <w:r>
        <w:t xml:space="preserve"> </w:t>
      </w:r>
      <w:r>
        <w:t xml:space="preserve">của Khanna &amp; Palepu (2010): các thị trường đang phát triển có hệ thống tài chính kém phát triển → doanh nghiệp khó tiếp cận tín dụng chính thức. Liên kết với §4.4</w:t>
      </w:r>
      <w:r>
        <w:t xml:space="preserve"> </w:t>
      </w:r>
      <w:r>
        <w:rPr>
          <w:iCs/>
          <w:i/>
        </w:rPr>
        <w:t xml:space="preserve">Số hóa tài chính (Financial digitalization)</w:t>
      </w:r>
      <w:r>
        <w:t xml:space="preserve"> </w:t>
      </w:r>
      <w:r>
        <w:t xml:space="preserve">— công nghệ tài chính (fintech) có thể giảm chi phí giao dịch nhưng chưa thay thế được kênh ngân hàng truyền thống ở SME.</w:t>
      </w:r>
    </w:p>
    <w:p>
      <w:pPr>
        <w:pStyle w:val="BodyText"/>
      </w:pPr>
      <w:r>
        <w:t xml:space="preserve">(b)</w:t>
      </w:r>
      <w:r>
        <w:t xml:space="preserve"> </w:t>
      </w:r>
      <w:r>
        <w:rPr>
          <w:bCs/>
          <w:b/>
        </w:rPr>
        <w:t xml:space="preserve">Rào cản 2 — Lực lượng lao động thiếu kỹ năng</w:t>
      </w:r>
      <w:r>
        <w:t xml:space="preserve">: Đặc biệt nghiêm trọng cho doanh nghiệp sản xuất công nghệ cao (manufacturing high-tech) và ICT (Bảng 4.8.1) — đúng với khung</w:t>
      </w:r>
      <w:r>
        <w:t xml:space="preserve"> </w:t>
      </w:r>
      <w:r>
        <w:rPr>
          <w:bCs/>
          <w:b/>
        </w:rPr>
        <w:t xml:space="preserve">Schumpeter II về động học công nghệ (Schumpeter Mark II tech dynamism)</w:t>
      </w:r>
      <w:r>
        <w:t xml:space="preserve"> </w:t>
      </w:r>
      <w:r>
        <w:t xml:space="preserve">(Kafouros et al., 2023). Pattern Asia mạnh nhất ở Frontier (do hệ giáo dục đào tạo nghề kém phát triển) và Vùng Vịnh (do lực lượng lao động phụ thuộc lao động nhập cư).</w:t>
      </w:r>
    </w:p>
    <w:p>
      <w:pPr>
        <w:pStyle w:val="BodyText"/>
      </w:pPr>
      <w:r>
        <w:t xml:space="preserve">(c)</w:t>
      </w:r>
      <w:r>
        <w:t xml:space="preserve"> </w:t>
      </w:r>
      <w:r>
        <w:rPr>
          <w:bCs/>
          <w:b/>
        </w:rPr>
        <w:t xml:space="preserve">Rào cản 3 — Cạnh tranh từ doanh nghiệp phi chính thức</w:t>
      </w:r>
      <w:r>
        <w:t xml:space="preserve">: Tạo</w:t>
      </w:r>
      <w:r>
        <w:t xml:space="preserve"> </w:t>
      </w:r>
      <w:r>
        <w:rPr>
          <w:bCs/>
          <w:b/>
        </w:rPr>
        <w:t xml:space="preserve">cạnh tranh không công bằng (unfair competition)</w:t>
      </w:r>
      <w:r>
        <w:t xml:space="preserve"> </w:t>
      </w:r>
      <w:r>
        <w:t xml:space="preserve">cho các doanh nghiệp chính thức vì doanh nghiệp phi chính thức không phải tuân thủ thuế, lao động, chuẩn an toàn. Mức độ</w:t>
      </w:r>
      <w:r>
        <w:t xml:space="preserve"> </w:t>
      </w:r>
      <w:r>
        <w:rPr>
          <w:bCs/>
          <w:b/>
        </w:rPr>
        <w:t xml:space="preserve">kinh tế ngầm (shadow economy)</w:t>
      </w:r>
      <w:r>
        <w:t xml:space="preserve"> </w:t>
      </w:r>
      <w:r>
        <w:t xml:space="preserve">ở Frontier và Emerging Á-Thái có thể lên 30–40% GDP (La Porta &amp; Shleifer, 2014). Giả thuyết: cạnh tranh phi chính thức làm giảm động lực đầu tư R&amp;D và ISO chứng chỉ — liên kết §4.4</w:t>
      </w:r>
      <w:r>
        <w:t xml:space="preserve"> </w:t>
      </w:r>
      <w:r>
        <w:rPr>
          <w:iCs/>
          <w:i/>
        </w:rPr>
        <w:t xml:space="preserve">Δ R&amp;D Emerging giảm -42,1 đpt</w:t>
      </w:r>
      <w:r>
        <w:t xml:space="preserve">.</w:t>
      </w:r>
    </w:p>
    <w:p>
      <w:pPr>
        <w:pStyle w:val="BodyText"/>
      </w:pPr>
      <w:r>
        <w:t xml:space="preserve">(d)</w:t>
      </w:r>
      <w:r>
        <w:t xml:space="preserve"> </w:t>
      </w:r>
      <w:r>
        <w:rPr>
          <w:bCs/>
          <w:b/>
        </w:rPr>
        <w:t xml:space="preserve">Rào cản 4 — Nguồn cung điện không đáng tin cậy</w:t>
      </w:r>
      <w:r>
        <w:t xml:space="preserve">: Đặc biệt nghiêm trọng cho SIDS Pacific và Frontier (e.g., Bangladesh, Pakistan power outages &gt; 10 hours/tháng theo WBES). Trực tiếp giảm năng suất lao động (Banerjee &amp; Duflo, 2014) — liên kết §4.2</w:t>
      </w:r>
      <w:r>
        <w:t xml:space="preserve"> </w:t>
      </w:r>
      <w:r>
        <w:rPr>
          <w:iCs/>
          <w:i/>
        </w:rPr>
        <w:t xml:space="preserve">phân tán năng suất Frontier 1,36 cao nhất</w:t>
      </w:r>
      <w:r>
        <w:t xml:space="preserve">.</w:t>
      </w:r>
      <w:r>
        <w:t xml:space="preserve"> </w:t>
      </w:r>
      <w:r>
        <w:rPr>
          <w:bCs/>
          <w:b/>
        </w:rPr>
        <w:t xml:space="preserve">IFC PSD Blueprint</w:t>
      </w:r>
      <w:r>
        <w:t xml:space="preserve"> </w:t>
      </w:r>
      <w:r>
        <w:t xml:space="preserve">classify đây là</w:t>
      </w:r>
      <w:r>
        <w:t xml:space="preserve"> </w:t>
      </w:r>
      <w:r>
        <w:rPr>
          <w:iCs/>
          <w:i/>
        </w:rPr>
        <w:t xml:space="preserve">operational resources pillar</w:t>
      </w:r>
      <w:r>
        <w:t xml:space="preserve"> </w:t>
      </w:r>
      <w:r>
        <w:t xml:space="preserve">— yếu tố hạ tầng vật chất khác biệt với</w:t>
      </w:r>
      <w:r>
        <w:t xml:space="preserve"> </w:t>
      </w:r>
      <w:r>
        <w:rPr>
          <w:iCs/>
          <w:i/>
        </w:rPr>
        <w:t xml:space="preserve">human resources pillar</w:t>
      </w:r>
      <w:r>
        <w:t xml:space="preserve"> </w:t>
      </w:r>
      <w:r>
        <w:t xml:space="preserve">(kỹ năng) và</w:t>
      </w:r>
      <w:r>
        <w:t xml:space="preserve"> </w:t>
      </w:r>
      <w:r>
        <w:rPr>
          <w:iCs/>
          <w:i/>
        </w:rPr>
        <w:t xml:space="preserve">financial resources pillar</w:t>
      </w:r>
      <w:r>
        <w:t xml:space="preserve"> </w:t>
      </w:r>
      <w:r>
        <w:t xml:space="preserve">(tín dụng).</w:t>
      </w:r>
    </w:p>
    <w:p>
      <w:pPr>
        <w:pStyle w:val="BodyText"/>
      </w:pPr>
      <w:r>
        <w:rPr>
          <w:bCs/>
          <w:b/>
        </w:rPr>
        <w:t xml:space="preserve">Hàm ý cho CĐ2</w:t>
      </w:r>
      <w:r>
        <w:t xml:space="preserve">: 4 rào cản này → 4 control variables mới trong Spec 1 (full pool) và Spec 2 (2018-2025): (i)</w:t>
      </w:r>
      <w:r>
        <w:t xml:space="preserve"> </w:t>
      </w:r>
      <w:r>
        <w:rPr>
          <w:rStyle w:val="VerbatimChar"/>
        </w:rPr>
        <w:t xml:space="preserve">credit_constraint_dummy</w:t>
      </w:r>
      <w:r>
        <w:t xml:space="preserve"> </w:t>
      </w:r>
      <w:r>
        <w:t xml:space="preserve">từ WBES question k30; (ii)</w:t>
      </w:r>
      <w:r>
        <w:t xml:space="preserve"> </w:t>
      </w:r>
      <w:r>
        <w:rPr>
          <w:rStyle w:val="VerbatimChar"/>
        </w:rPr>
        <w:t xml:space="preserve">labor_skill_gap</w:t>
      </w:r>
      <w:r>
        <w:t xml:space="preserve"> </w:t>
      </w:r>
      <w:r>
        <w:t xml:space="preserve">từ question b8; (iii)</w:t>
      </w:r>
      <w:r>
        <w:t xml:space="preserve"> </w:t>
      </w:r>
      <w:r>
        <w:rPr>
          <w:rStyle w:val="VerbatimChar"/>
        </w:rPr>
        <w:t xml:space="preserve">informal_competition</w:t>
      </w:r>
      <w:r>
        <w:t xml:space="preserve"> </w:t>
      </w:r>
      <w:r>
        <w:t xml:space="preserve">từ question e30; (iv)</w:t>
      </w:r>
      <w:r>
        <w:t xml:space="preserve"> </w:t>
      </w:r>
      <w:r>
        <w:rPr>
          <w:rStyle w:val="VerbatimChar"/>
        </w:rPr>
        <w:t xml:space="preserve">power_outage_intensity</w:t>
      </w:r>
      <w:r>
        <w:t xml:space="preserve"> </w:t>
      </w:r>
      <w:r>
        <w:t xml:space="preserve">từ question c30 (ngày/tháng mất điện). Cộng với khung industry FE (§4.8) và phân nhóm con thể chế (Chương 3 file 14), CĐ2 sẽ có</w:t>
      </w:r>
      <w:r>
        <w:t xml:space="preserve"> </w:t>
      </w:r>
      <w:r>
        <w:rPr>
          <w:bCs/>
          <w:b/>
        </w:rPr>
        <w:t xml:space="preserve">specification đầy đủ 5 lĩnh vực WBES</w:t>
      </w:r>
      <w:r>
        <w:t xml:space="preserve"> </w:t>
      </w:r>
      <w:r>
        <w:t xml:space="preserve">— không chỉ 2 lĩnh vực (đổi mới + năng lực số) như §4.4 hiện đang phân tích.</w:t>
      </w:r>
    </w:p>
    <w:bookmarkEnd w:id="39"/>
    <w:bookmarkStart w:id="40" w:name="X29668a08035432e8f39a3dfa599c3d6a9d31d49"/>
    <w:p>
      <w:pPr>
        <w:pStyle w:val="Heading4"/>
      </w:pPr>
      <w:r>
        <w:t xml:space="preserve">4.5.6 Giới tính quản lý cấp cao và sở hữu — bằng chứng từ WBES pool</w:t>
      </w:r>
    </w:p>
    <w:p>
      <w:pPr>
        <w:pStyle w:val="BlockText"/>
      </w:pPr>
      <w:r>
        <w:rPr>
          <w:bCs/>
          <w:b/>
        </w:rPr>
        <w:t xml:space="preserve">Nguồn chuẩn</w:t>
      </w:r>
      <w:r>
        <w:t xml:space="preserve">: Carboni et al. (2024/2025 — WBES 192.000 doanh nghiệp, 158 quốc gia, 2006–2023); World Bank (2024)</w:t>
      </w:r>
      <w:r>
        <w:t xml:space="preserve"> </w:t>
      </w:r>
      <w:r>
        <w:rPr>
          <w:iCs/>
          <w:i/>
        </w:rPr>
        <w:t xml:space="preserve">Unlocking Global Growth: Closing the Gender Gap in Business</w:t>
      </w:r>
      <w:r>
        <w:t xml:space="preserve"> </w:t>
      </w:r>
      <w:r>
        <w:t xml:space="preserve">(WBES 167 nền kinh tế). Biến WBES:</w:t>
      </w:r>
      <w:r>
        <w:t xml:space="preserve"> </w:t>
      </w:r>
      <w:r>
        <w:rPr>
          <w:rStyle w:val="VerbatimChar"/>
        </w:rPr>
        <w:t xml:space="preserve">b7a</w:t>
      </w:r>
      <w:r>
        <w:t xml:space="preserve"> </w:t>
      </w:r>
      <w:r>
        <w:t xml:space="preserve">= female top manager (nhị phân Y/N);</w:t>
      </w:r>
      <w:r>
        <w:t xml:space="preserve"> </w:t>
      </w:r>
      <w:r>
        <w:rPr>
          <w:rStyle w:val="VerbatimChar"/>
        </w:rPr>
        <w:t xml:space="preserve">b4</w:t>
      </w:r>
      <w:r>
        <w:t xml:space="preserve"> </w:t>
      </w:r>
      <w:r>
        <w:t xml:space="preserve">= female majority ownership.</w:t>
      </w:r>
    </w:p>
    <w:p>
      <w:pPr>
        <w:pStyle w:val="FirstParagraph"/>
      </w:pPr>
      <w:r>
        <w:rPr>
          <w:bCs/>
          <w:b/>
        </w:rPr>
        <w:t xml:space="preserve">Bảng 4.5.6</w:t>
      </w:r>
      <w:r>
        <w:t xml:space="preserve">.</w:t>
      </w:r>
      <w:r>
        <w:t xml:space="preserve"> </w:t>
      </w:r>
      <w:r>
        <w:rPr>
          <w:iCs/>
          <w:i/>
        </w:rPr>
        <w:t xml:space="preserve">Tỷ lệ nữ quản lý cấp cao (female top manager) và nữ sở hữu — theo phân nhóm con ICRV.</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Phân nhóm con</w:t>
            </w:r>
          </w:p>
        </w:tc>
        <w:tc>
          <w:tcPr/>
          <w:p>
            <w:pPr>
              <w:pStyle w:val="Compact"/>
              <w:jc w:val="left"/>
            </w:pPr>
            <w:r>
              <w:t xml:space="preserve">% Nữ Top Manager (b7a)</w:t>
            </w:r>
          </w:p>
        </w:tc>
        <w:tc>
          <w:tcPr/>
          <w:p>
            <w:pPr>
              <w:pStyle w:val="Compact"/>
              <w:jc w:val="left"/>
            </w:pPr>
            <w:r>
              <w:t xml:space="preserve">% Nữ Majority Owner</w:t>
            </w:r>
          </w:p>
        </w:tc>
        <w:tc>
          <w:tcPr/>
          <w:p>
            <w:pPr>
              <w:pStyle w:val="Compact"/>
              <w:jc w:val="left"/>
            </w:pPr>
            <w:r>
              <w:t xml:space="preserve">Ghi chú</w:t>
            </w:r>
          </w:p>
        </w:tc>
      </w:tr>
      <w:tr>
        <w:tc>
          <w:tcPr/>
          <w:p>
            <w:pPr>
              <w:pStyle w:val="Compact"/>
              <w:jc w:val="left"/>
            </w:pPr>
            <w:r>
              <w:rPr>
                <w:bCs/>
                <w:b/>
              </w:rPr>
              <w:t xml:space="preserve">Advanced — innovation-driven</w:t>
            </w:r>
          </w:p>
        </w:tc>
        <w:tc>
          <w:tcPr/>
          <w:p>
            <w:pPr>
              <w:pStyle w:val="Compact"/>
              <w:jc w:val="left"/>
            </w:pPr>
            <w:r>
              <w:t xml:space="preserve">~26–30%</w:t>
            </w:r>
          </w:p>
        </w:tc>
        <w:tc>
          <w:tcPr/>
          <w:p>
            <w:pPr>
              <w:pStyle w:val="Compact"/>
              <w:jc w:val="left"/>
            </w:pPr>
            <w:r>
              <w:t xml:space="preserve">~18–22%</w:t>
            </w:r>
          </w:p>
        </w:tc>
        <w:tc>
          <w:tcPr/>
          <w:p>
            <w:pPr>
              <w:pStyle w:val="Compact"/>
              <w:jc w:val="left"/>
            </w:pPr>
            <w:r>
              <w:t xml:space="preserve">Singapore: WBES 2023 (b7a) ≈ 28%</w:t>
            </w:r>
          </w:p>
        </w:tc>
      </w:tr>
      <w:tr>
        <w:tc>
          <w:tcPr/>
          <w:p>
            <w:pPr>
              <w:pStyle w:val="Compact"/>
              <w:jc w:val="left"/>
            </w:pPr>
            <w:r>
              <w:rPr>
                <w:bCs/>
                <w:b/>
              </w:rPr>
              <w:t xml:space="preserve">Advanced — resource-driven</w:t>
            </w:r>
          </w:p>
        </w:tc>
        <w:tc>
          <w:tcPr/>
          <w:p>
            <w:pPr>
              <w:pStyle w:val="Compact"/>
              <w:jc w:val="left"/>
            </w:pPr>
            <w:r>
              <w:t xml:space="preserve">~5–8%</w:t>
            </w:r>
          </w:p>
        </w:tc>
        <w:tc>
          <w:tcPr/>
          <w:p>
            <w:pPr>
              <w:pStyle w:val="Compact"/>
              <w:jc w:val="left"/>
            </w:pPr>
            <w:r>
              <w:t xml:space="preserve">~3–5%</w:t>
            </w:r>
          </w:p>
        </w:tc>
        <w:tc>
          <w:tcPr/>
          <w:p>
            <w:pPr>
              <w:pStyle w:val="Compact"/>
              <w:jc w:val="left"/>
            </w:pPr>
            <w:r>
              <w:t xml:space="preserve">Vùng Vịnh: thấp do cấu trúc xã hội-thể chế</w:t>
            </w:r>
          </w:p>
        </w:tc>
      </w:tr>
      <w:tr>
        <w:tc>
          <w:tcPr/>
          <w:p>
            <w:pPr>
              <w:pStyle w:val="Compact"/>
              <w:jc w:val="left"/>
            </w:pPr>
            <w:r>
              <w:rPr>
                <w:bCs/>
                <w:b/>
              </w:rPr>
              <w:t xml:space="preserve">Upper-middle</w:t>
            </w:r>
          </w:p>
        </w:tc>
        <w:tc>
          <w:tcPr/>
          <w:p>
            <w:pPr>
              <w:pStyle w:val="Compact"/>
              <w:jc w:val="left"/>
            </w:pPr>
            <w:r>
              <w:t xml:space="preserve">~30–35%</w:t>
            </w:r>
          </w:p>
        </w:tc>
        <w:tc>
          <w:tcPr/>
          <w:p>
            <w:pPr>
              <w:pStyle w:val="Compact"/>
              <w:jc w:val="left"/>
            </w:pPr>
            <w:r>
              <w:t xml:space="preserve">~20–25%</w:t>
            </w:r>
          </w:p>
        </w:tc>
        <w:tc>
          <w:tcPr/>
          <w:p>
            <w:pPr>
              <w:pStyle w:val="Compact"/>
              <w:jc w:val="left"/>
            </w:pPr>
            <w:r>
              <w:t xml:space="preserve">Trung Quốc, Malaysia, Thái Lan dẫn dắt</w:t>
            </w:r>
          </w:p>
        </w:tc>
      </w:tr>
      <w:tr>
        <w:tc>
          <w:tcPr/>
          <w:p>
            <w:pPr>
              <w:pStyle w:val="Compact"/>
              <w:jc w:val="left"/>
            </w:pPr>
            <w:r>
              <w:rPr>
                <w:bCs/>
                <w:b/>
              </w:rPr>
              <w:t xml:space="preserve">Emerging</w:t>
            </w:r>
          </w:p>
        </w:tc>
        <w:tc>
          <w:tcPr/>
          <w:p>
            <w:pPr>
              <w:pStyle w:val="Compact"/>
              <w:jc w:val="left"/>
            </w:pPr>
            <w:r>
              <w:t xml:space="preserve">~25–33%</w:t>
            </w:r>
          </w:p>
        </w:tc>
        <w:tc>
          <w:tcPr/>
          <w:p>
            <w:pPr>
              <w:pStyle w:val="Compact"/>
              <w:jc w:val="left"/>
            </w:pPr>
            <w:r>
              <w:t xml:space="preserve">~18–24%</w:t>
            </w:r>
          </w:p>
        </w:tc>
        <w:tc>
          <w:tcPr/>
          <w:p>
            <w:pPr>
              <w:pStyle w:val="Compact"/>
              <w:jc w:val="left"/>
            </w:pPr>
            <w:r>
              <w:t xml:space="preserve">EAP trung bình 33,4% (dẫn đầu toàn cầu — xem §6.1)</w:t>
            </w:r>
          </w:p>
        </w:tc>
      </w:tr>
      <w:tr>
        <w:tc>
          <w:tcPr/>
          <w:p>
            <w:pPr>
              <w:pStyle w:val="Compact"/>
              <w:jc w:val="left"/>
            </w:pPr>
            <w:r>
              <w:rPr>
                <w:bCs/>
                <w:b/>
              </w:rPr>
              <w:t xml:space="preserve">Frontier</w:t>
            </w:r>
          </w:p>
        </w:tc>
        <w:tc>
          <w:tcPr/>
          <w:p>
            <w:pPr>
              <w:pStyle w:val="Compact"/>
              <w:jc w:val="left"/>
            </w:pPr>
            <w:r>
              <w:t xml:space="preserve">~15–25%</w:t>
            </w:r>
          </w:p>
        </w:tc>
        <w:tc>
          <w:tcPr/>
          <w:p>
            <w:pPr>
              <w:pStyle w:val="Compact"/>
              <w:jc w:val="left"/>
            </w:pPr>
            <w:r>
              <w:t xml:space="preserve">~10–18%</w:t>
            </w:r>
          </w:p>
        </w:tc>
        <w:tc>
          <w:tcPr/>
          <w:p>
            <w:pPr>
              <w:pStyle w:val="Compact"/>
              <w:jc w:val="left"/>
            </w:pPr>
            <w:r>
              <w:t xml:space="preserve">Phân tán lớn — Bangladesh (~16%) vs Kyrgyz (~35%)</w:t>
            </w:r>
          </w:p>
        </w:tc>
      </w:tr>
      <w:tr>
        <w:tc>
          <w:tcPr/>
          <w:p>
            <w:pPr>
              <w:pStyle w:val="Compact"/>
              <w:jc w:val="left"/>
            </w:pPr>
            <w:r>
              <w:rPr>
                <w:bCs/>
                <w:b/>
              </w:rPr>
              <w:t xml:space="preserve">SIDS Thái Bình Dương</w:t>
            </w:r>
          </w:p>
        </w:tc>
        <w:tc>
          <w:tcPr/>
          <w:p>
            <w:pPr>
              <w:pStyle w:val="Compact"/>
              <w:jc w:val="left"/>
            </w:pPr>
            <w:r>
              <w:t xml:space="preserve">~20–28%</w:t>
            </w:r>
          </w:p>
        </w:tc>
        <w:tc>
          <w:tcPr/>
          <w:p>
            <w:pPr>
              <w:pStyle w:val="Compact"/>
              <w:jc w:val="left"/>
            </w:pPr>
            <w:r>
              <w:t xml:space="preserve">~15–20%</w:t>
            </w:r>
          </w:p>
        </w:tc>
        <w:tc>
          <w:tcPr/>
          <w:p>
            <w:pPr>
              <w:pStyle w:val="Compact"/>
              <w:jc w:val="left"/>
            </w:pPr>
            <w:r>
              <w:t xml:space="preserve">Fiji/Solomon Islands — matrilineal land tenure culture</w:t>
            </w:r>
          </w:p>
        </w:tc>
      </w:tr>
    </w:tbl>
    <w:p>
      <w:pPr>
        <w:pStyle w:val="BodyText"/>
      </w:pPr>
      <w:r>
        <w:rPr>
          <w:iCs/>
          <w:i/>
        </w:rPr>
        <w:t xml:space="preserve">Lưu ý: Số liệu tỷ lệ phần trăm là ước tính theo phân nhóm con ICRV dựa trên tổng hợp WBES pool — cần đối chiếu lại với dữ liệu</w:t>
      </w:r>
      <w:r>
        <w:rPr>
          <w:iCs/>
          <w:i/>
        </w:rPr>
        <w:t xml:space="preserve"> </w:t>
      </w:r>
      <w:r>
        <w:rPr>
          <w:rStyle w:val="VerbatimChar"/>
          <w:iCs/>
          <w:i/>
        </w:rPr>
        <w:t xml:space="preserve">b7a</w:t>
      </w:r>
      <w:r>
        <w:rPr>
          <w:iCs/>
          <w:i/>
        </w:rPr>
        <w:t xml:space="preserve"> </w:t>
      </w:r>
      <w:r>
        <w:rPr>
          <w:iCs/>
          <w:i/>
        </w:rPr>
        <w:t xml:space="preserve">gốc khi hoàn thiện. Bảng 6.1.1 (file 16 §6.1) cung cấp số liệu chính xác theo vùng WB.</w:t>
      </w:r>
    </w:p>
    <w:p>
      <w:pPr>
        <w:pStyle w:val="BodyText"/>
      </w:pPr>
      <w:r>
        <w:rPr>
          <w:bCs/>
          <w:b/>
        </w:rPr>
        <w:t xml:space="preserve">Ba phát hiện nổi bật</w:t>
      </w:r>
      <w:r>
        <w:t xml:space="preserve">:</w:t>
      </w:r>
    </w:p>
    <w:p>
      <w:pPr>
        <w:pStyle w:val="BodyText"/>
      </w:pPr>
      <w:r>
        <w:t xml:space="preserve">(a)</w:t>
      </w:r>
      <w:r>
        <w:t xml:space="preserve"> </w:t>
      </w:r>
      <w:r>
        <w:rPr>
          <w:bCs/>
          <w:b/>
        </w:rPr>
        <w:t xml:space="preserve">EAP paradox — dẫn đầu về representation nhưng không về performance gap</w:t>
      </w:r>
      <w:r>
        <w:t xml:space="preserve">: Dữ liệu WBES EAP 33,4% nữ TMT cao nhất toàn cầu — nhưng Carboni et al. cho thấy mối quan hệ female top manager × ESG (môi trường-xã hội-quản trị) phụ thuộc mạnh vào chất lượng thể chế và công nghệ. Tại các nền kinh tế như Việt Nam, Trung Quốc, Philippines, phụ nữ quản lý cấp cao hiện diện cao nhưng thường ở SME nội địa năng suất thấp hơn — cần kiểm soát quy mô, ngành và ICRV regime.</w:t>
      </w:r>
    </w:p>
    <w:p>
      <w:pPr>
        <w:pStyle w:val="BodyText"/>
      </w:pPr>
      <w:r>
        <w:t xml:space="preserve">(b)</w:t>
      </w:r>
      <w:r>
        <w:t xml:space="preserve"> </w:t>
      </w:r>
      <w:r>
        <w:rPr>
          <w:bCs/>
          <w:b/>
        </w:rPr>
        <w:t xml:space="preserve">Vùng Vịnh — gap lớn nhất</w:t>
      </w:r>
      <w:r>
        <w:t xml:space="preserve">: Advanced resource-driven (Vùng Vịnh Saudi/Qatar/Kuwait) có tỷ lệ nữ TMT thấp nhất trong toàn pool (3–8%), phản ánh cấu trúc thể chế-xã hội đặc thù. Đây là boundary condition cho mọi phân tích gender performance: kết quả gender × productivity ở Vùng Vịnh không thể suy rộng sang Advanced innovation-driven.</w:t>
      </w:r>
    </w:p>
    <w:p>
      <w:pPr>
        <w:pStyle w:val="BodyText"/>
      </w:pPr>
      <w:r>
        <w:t xml:space="preserve">(c)</w:t>
      </w:r>
      <w:r>
        <w:t xml:space="preserve"> </w:t>
      </w:r>
      <w:r>
        <w:rPr>
          <w:bCs/>
          <w:b/>
        </w:rPr>
        <w:t xml:space="preserve">Frontier — phân tán nội bộ lớn</w:t>
      </w:r>
      <w:r>
        <w:t xml:space="preserve">: Kyrgyz Republic + Tajikistan (Frontier/Trung Á, nữ TMT ~35%) so với Yemen + Afghanistan (Frontier/MENA, nữ TMT &lt;5%) — minh họa cho lý do ICRV phân nhóm Frontier 17 nước thay vì gộp chung.</w:t>
      </w:r>
    </w:p>
    <w:p>
      <w:pPr>
        <w:pStyle w:val="BodyText"/>
      </w:pPr>
      <w:r>
        <w:rPr>
          <w:bCs/>
          <w:b/>
        </w:rPr>
        <w:t xml:space="preserve">Biến WBES và hàm ý CĐ2</w:t>
      </w:r>
      <w:r>
        <w:t xml:space="preserve">: Biến</w:t>
      </w:r>
      <w:r>
        <w:t xml:space="preserve"> </w:t>
      </w:r>
      <w:r>
        <w:rPr>
          <w:rStyle w:val="VerbatimChar"/>
        </w:rPr>
        <w:t xml:space="preserve">b7a</w:t>
      </w:r>
      <w:r>
        <w:t xml:space="preserve"> </w:t>
      </w:r>
      <w:r>
        <w:t xml:space="preserve">(female top manager) trong CĐ2 có thể đóng vai trò (i)</w:t>
      </w:r>
      <w:r>
        <w:t xml:space="preserve"> </w:t>
      </w:r>
      <w:r>
        <w:rPr>
          <w:bCs/>
          <w:b/>
        </w:rPr>
        <w:t xml:space="preserve">biến kiểm soát</w:t>
      </w:r>
      <w:r>
        <w:t xml:space="preserve"> </w:t>
      </w:r>
      <w:r>
        <w:t xml:space="preserve">trong specification cơ bản để loại tác động cơ cấu giới lên năng suất; (ii)</w:t>
      </w:r>
      <w:r>
        <w:t xml:space="preserve"> </w:t>
      </w:r>
      <w:r>
        <w:rPr>
          <w:bCs/>
          <w:b/>
        </w:rPr>
        <w:t xml:space="preserve">biến điều tiết (moderating variable)</w:t>
      </w:r>
      <w:r>
        <w:t xml:space="preserve"> </w:t>
      </w:r>
      <w:r>
        <w:t xml:space="preserve">cho H4 TMT moderation theo Mardones-Ibáñez (2025 —</w:t>
      </w:r>
      <w:r>
        <w:t xml:space="preserve"> </w:t>
      </w:r>
      <w:r>
        <w:rPr>
          <w:iCs/>
          <w:i/>
        </w:rPr>
        <w:t xml:space="preserve">SAGE Open</w:t>
      </w:r>
      <w:r>
        <w:t xml:space="preserve">) + Al-Najjar et al. (2025 —</w:t>
      </w:r>
      <w:r>
        <w:t xml:space="preserve"> </w:t>
      </w:r>
      <w:r>
        <w:rPr>
          <w:iCs/>
          <w:i/>
        </w:rPr>
        <w:t xml:space="preserve">IJHRM</w:t>
      </w:r>
      <w:r>
        <w:t xml:space="preserve">). Carboni et al. framework gợi ý: tác động female top manager lên firm performance không phải tuyến tính mà phụ thuộc vào (a) mức độ số hóa (DAI) — technology complement gender diversity; (b) ICRV regime — thể chế mạnh khuếch đại tác động gender diversity; (c) ngành — tech-dynamic industries có ROI cao hơn từ gender diverse leadership.</w:t>
      </w:r>
    </w:p>
    <w:bookmarkEnd w:id="40"/>
    <w:bookmarkEnd w:id="41"/>
    <w:bookmarkStart w:id="48" w:name="X6391a3bb9aef206e09a1ede1e8a14537396c493"/>
    <w:p>
      <w:pPr>
        <w:pStyle w:val="Heading3"/>
      </w:pPr>
      <w:r>
        <w:t xml:space="preserve">4.6 Bức tranh thay đổi theo thời gian</w:t>
      </w:r>
    </w:p>
    <w:p>
      <w:pPr>
        <w:pStyle w:val="FirstParagraph"/>
      </w:pPr>
      <w:r>
        <w:rPr>
          <w:bCs/>
          <w:b/>
        </w:rPr>
        <w:t xml:space="preserve">Bảng 4.6</w:t>
      </w:r>
      <w:r>
        <w:t xml:space="preserve">.</w:t>
      </w:r>
      <w:r>
        <w:t xml:space="preserve"> </w:t>
      </w:r>
      <w:r>
        <w:rPr>
          <w:iCs/>
          <w:i/>
        </w:rPr>
        <w:t xml:space="preserve">Δ điểm phần trăm (đpt) khi so sánh 2018–2025 với 2009–2012.</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Phân nhóm con</w:t>
            </w:r>
          </w:p>
        </w:tc>
        <w:tc>
          <w:tcPr/>
          <w:p>
            <w:pPr>
              <w:pStyle w:val="Compact"/>
              <w:jc w:val="left"/>
            </w:pPr>
            <w:r>
              <w:t xml:space="preserve">Δ Website</w:t>
            </w:r>
          </w:p>
        </w:tc>
        <w:tc>
          <w:tcPr/>
          <w:p>
            <w:pPr>
              <w:pStyle w:val="Compact"/>
              <w:jc w:val="left"/>
            </w:pPr>
            <w:r>
              <w:t xml:space="preserve">Δ Doanh nghiệp xuất khẩu</w:t>
            </w:r>
          </w:p>
        </w:tc>
        <w:tc>
          <w:tcPr/>
          <w:p>
            <w:pPr>
              <w:pStyle w:val="Compact"/>
              <w:jc w:val="left"/>
            </w:pPr>
            <w:r>
              <w:t xml:space="preserve">Δ FDI</w:t>
            </w:r>
          </w:p>
        </w:tc>
        <w:tc>
          <w:tcPr/>
          <w:p>
            <w:pPr>
              <w:pStyle w:val="Compact"/>
              <w:jc w:val="left"/>
            </w:pPr>
            <w:r>
              <w:t xml:space="preserve">Δ R&amp;D</w:t>
            </w:r>
          </w:p>
        </w:tc>
        <w:tc>
          <w:tcPr/>
          <w:p>
            <w:pPr>
              <w:pStyle w:val="Compact"/>
              <w:jc w:val="left"/>
            </w:pPr>
            <w:r>
              <w:t xml:space="preserve">Δ ISO</w:t>
            </w:r>
          </w:p>
        </w:tc>
      </w:tr>
      <w:tr>
        <w:tc>
          <w:tcPr/>
          <w:p>
            <w:pPr>
              <w:pStyle w:val="Compact"/>
              <w:jc w:val="left"/>
            </w:pPr>
            <w:r>
              <w:t xml:space="preserve">Upper-middle</w:t>
            </w:r>
          </w:p>
        </w:tc>
        <w:tc>
          <w:tcPr/>
          <w:p>
            <w:pPr>
              <w:pStyle w:val="Compact"/>
              <w:jc w:val="left"/>
            </w:pPr>
            <w:r>
              <w:t xml:space="preserve">-9,9</w:t>
            </w:r>
          </w:p>
        </w:tc>
        <w:tc>
          <w:tcPr/>
          <w:p>
            <w:pPr>
              <w:pStyle w:val="Compact"/>
              <w:jc w:val="left"/>
            </w:pPr>
            <w:r>
              <w:t xml:space="preserve">+1,4</w:t>
            </w:r>
          </w:p>
        </w:tc>
        <w:tc>
          <w:tcPr/>
          <w:p>
            <w:pPr>
              <w:pStyle w:val="Compact"/>
              <w:jc w:val="left"/>
            </w:pPr>
            <w:r>
              <w:t xml:space="preserve">+2,3</w:t>
            </w:r>
          </w:p>
        </w:tc>
        <w:tc>
          <w:tcPr/>
          <w:p>
            <w:pPr>
              <w:pStyle w:val="Compact"/>
              <w:jc w:val="left"/>
            </w:pPr>
            <w:r>
              <w:t xml:space="preserve">+21,5</w:t>
            </w:r>
          </w:p>
        </w:tc>
        <w:tc>
          <w:tcPr/>
          <w:p>
            <w:pPr>
              <w:pStyle w:val="Compact"/>
              <w:jc w:val="left"/>
            </w:pPr>
            <w:r>
              <w:t xml:space="preserve">-25,4</w:t>
            </w:r>
          </w:p>
        </w:tc>
      </w:tr>
      <w:tr>
        <w:tc>
          <w:tcPr/>
          <w:p>
            <w:pPr>
              <w:pStyle w:val="Compact"/>
              <w:jc w:val="left"/>
            </w:pPr>
            <w:r>
              <w:t xml:space="preserve">Emerging</w:t>
            </w:r>
          </w:p>
        </w:tc>
        <w:tc>
          <w:tcPr/>
          <w:p>
            <w:pPr>
              <w:pStyle w:val="Compact"/>
              <w:jc w:val="left"/>
            </w:pPr>
            <w:r>
              <w:t xml:space="preserve">+20,3</w:t>
            </w:r>
          </w:p>
        </w:tc>
        <w:tc>
          <w:tcPr/>
          <w:p>
            <w:pPr>
              <w:pStyle w:val="Compact"/>
              <w:jc w:val="left"/>
            </w:pPr>
            <w:r>
              <w:t xml:space="preserve">-7,5</w:t>
            </w:r>
          </w:p>
        </w:tc>
        <w:tc>
          <w:tcPr/>
          <w:p>
            <w:pPr>
              <w:pStyle w:val="Compact"/>
              <w:jc w:val="left"/>
            </w:pPr>
            <w:r>
              <w:t xml:space="preserve">-10,9</w:t>
            </w:r>
          </w:p>
        </w:tc>
        <w:tc>
          <w:tcPr/>
          <w:p>
            <w:pPr>
              <w:pStyle w:val="Compact"/>
              <w:jc w:val="left"/>
            </w:pPr>
            <w:r>
              <w:t xml:space="preserve">-42,1</w:t>
            </w:r>
          </w:p>
        </w:tc>
        <w:tc>
          <w:tcPr/>
          <w:p>
            <w:pPr>
              <w:pStyle w:val="Compact"/>
              <w:jc w:val="left"/>
            </w:pPr>
            <w:r>
              <w:t xml:space="preserve">+1,9</w:t>
            </w:r>
          </w:p>
        </w:tc>
      </w:tr>
      <w:tr>
        <w:tc>
          <w:tcPr/>
          <w:p>
            <w:pPr>
              <w:pStyle w:val="Compact"/>
              <w:jc w:val="left"/>
            </w:pPr>
            <w:r>
              <w:t xml:space="preserve">Frontier</w:t>
            </w:r>
          </w:p>
        </w:tc>
        <w:tc>
          <w:tcPr/>
          <w:p>
            <w:pPr>
              <w:pStyle w:val="Compact"/>
              <w:jc w:val="left"/>
            </w:pPr>
            <w:r>
              <w:t xml:space="preserve">+22,1</w:t>
            </w:r>
          </w:p>
        </w:tc>
        <w:tc>
          <w:tcPr/>
          <w:p>
            <w:pPr>
              <w:pStyle w:val="Compact"/>
              <w:jc w:val="left"/>
            </w:pPr>
            <w:r>
              <w:t xml:space="preserve">+1,5</w:t>
            </w:r>
          </w:p>
        </w:tc>
        <w:tc>
          <w:tcPr/>
          <w:p>
            <w:pPr>
              <w:pStyle w:val="Compact"/>
              <w:jc w:val="left"/>
            </w:pPr>
            <w:r>
              <w:t xml:space="preserve">-6,5</w:t>
            </w:r>
          </w:p>
        </w:tc>
        <w:tc>
          <w:tcPr/>
          <w:p>
            <w:pPr>
              <w:pStyle w:val="Compact"/>
              <w:jc w:val="left"/>
            </w:pPr>
            <w:r>
              <w:t xml:space="preserve">-18,9</w:t>
            </w:r>
          </w:p>
        </w:tc>
        <w:tc>
          <w:tcPr/>
          <w:p>
            <w:pPr>
              <w:pStyle w:val="Compact"/>
              <w:jc w:val="left"/>
            </w:pPr>
            <w:r>
              <w:t xml:space="preserve">+18,5</w:t>
            </w:r>
          </w:p>
        </w:tc>
      </w:tr>
      <w:tr>
        <w:tc>
          <w:tcPr/>
          <w:p>
            <w:pPr>
              <w:pStyle w:val="Compact"/>
              <w:jc w:val="left"/>
            </w:pPr>
            <w:r>
              <w:t xml:space="preserve">SIDS Thái Bình Dương</w:t>
            </w:r>
          </w:p>
        </w:tc>
        <w:tc>
          <w:tcPr/>
          <w:p>
            <w:pPr>
              <w:pStyle w:val="Compact"/>
              <w:jc w:val="left"/>
            </w:pPr>
            <w:r>
              <w:t xml:space="preserve">+35–43</w:t>
            </w:r>
          </w:p>
        </w:tc>
        <w:tc>
          <w:tcPr/>
          <w:p>
            <w:pPr>
              <w:pStyle w:val="Compact"/>
              <w:jc w:val="left"/>
            </w:pPr>
            <w:r>
              <w:t xml:space="preserve">+6–11</w:t>
            </w:r>
          </w:p>
        </w:tc>
        <w:tc>
          <w:tcPr/>
          <w:p>
            <w:pPr>
              <w:pStyle w:val="Compact"/>
              <w:jc w:val="left"/>
            </w:pPr>
            <w:r>
              <w:t xml:space="preserve">-5 đến -10</w:t>
            </w:r>
          </w:p>
        </w:tc>
        <w:tc>
          <w:tcPr/>
          <w:p>
            <w:pPr>
              <w:pStyle w:val="Compact"/>
              <w:jc w:val="left"/>
            </w:pPr>
            <w:r>
              <w:t xml:space="preserve">(cập nhật)</w:t>
            </w:r>
          </w:p>
        </w:tc>
        <w:tc>
          <w:tcPr/>
          <w:p>
            <w:pPr>
              <w:pStyle w:val="Compact"/>
              <w:jc w:val="left"/>
            </w:pPr>
            <w:r>
              <w:t xml:space="preserve">-20 đến -25</w:t>
            </w:r>
          </w:p>
        </w:tc>
      </w:tr>
    </w:tbl>
    <w:p>
      <w:pPr>
        <w:pStyle w:val="BodyText"/>
      </w:pPr>
      <w:r>
        <w:t xml:space="preserve">Nhảy vọt số (digital leapfrog): website tăng +20–43 đpt ở Frontier, Emerging và SIDS Thái Bình Dương — phù hợp luận điểm digital leapfrog của Banalieva &amp; Dhanaraj (2019).</w:t>
      </w:r>
    </w:p>
    <w:p>
      <w:pPr>
        <w:pStyle w:val="BodyText"/>
      </w:pPr>
      <w:r>
        <w:drawing>
          <wp:inline>
            <wp:extent cx="5753100" cy="2590690"/>
            <wp:effectExtent b="0" l="0" r="0" t="0"/>
            <wp:docPr descr="Hình 4.4 — Slope chart 2009–2012 vs 2018–2025 (Δ điểm phần trăm 5 chỉ số)" title="" id="43" name="Picture"/>
            <a:graphic>
              <a:graphicData uri="http://schemas.openxmlformats.org/drawingml/2006/picture">
                <pic:pic>
                  <pic:nvPicPr>
                    <pic:cNvPr descr="figures/fig_4_4_growth_pathway.png" id="44" name="Picture"/>
                    <pic:cNvPicPr>
                      <a:picLocks noChangeArrowheads="1" noChangeAspect="1"/>
                    </pic:cNvPicPr>
                  </pic:nvPicPr>
                  <pic:blipFill>
                    <a:blip r:embed="rId42"/>
                    <a:stretch>
                      <a:fillRect/>
                    </a:stretch>
                  </pic:blipFill>
                  <pic:spPr bwMode="auto">
                    <a:xfrm>
                      <a:off x="0" y="0"/>
                      <a:ext cx="5753100" cy="2590690"/>
                    </a:xfrm>
                    <a:prstGeom prst="rect">
                      <a:avLst/>
                    </a:prstGeom>
                    <a:noFill/>
                    <a:ln w="9525">
                      <a:noFill/>
                      <a:headEnd/>
                      <a:tailEnd/>
                    </a:ln>
                  </pic:spPr>
                </pic:pic>
              </a:graphicData>
            </a:graphic>
          </wp:inline>
        </w:drawing>
      </w:r>
    </w:p>
    <w:p>
      <w:pPr>
        <w:pStyle w:val="BodyText"/>
      </w:pPr>
      <w:r>
        <w:rPr>
          <w:iCs/>
          <w:i/>
        </w:rPr>
        <w:t xml:space="preserve">Hình 4.4. Slope chart minh họa thay đổi 5 chỉ số (Website, DN xuất khẩu, FDI, R&amp;D, ISO) giữa 2 mốc thời gian cho 4 phân nhóm con. Pattern nổi bật: Website tăng mạnh +20-40 đpt ở Frontier/SIDS (digital leapfrog); FDI giảm phổ biến (-5 đến -11 đpt); R&amp;D giảm mạnh ở Emerging (-42,1 đpt) cảnh báo schema effect. Tái lập:</w:t>
      </w:r>
      <w:r>
        <w:rPr>
          <w:iCs/>
          <w:i/>
        </w:rPr>
        <w:t xml:space="preserve"> </w:t>
      </w:r>
      <w:r>
        <w:rPr>
          <w:rStyle w:val="VerbatimChar"/>
          <w:iCs/>
          <w:i/>
        </w:rPr>
        <w:t xml:space="preserve">generate_figures.py</w:t>
      </w:r>
      <w:r>
        <w:rPr>
          <w:iCs/>
          <w:i/>
        </w:rPr>
        <w:t xml:space="preserve"> </w:t>
      </w:r>
      <w:r>
        <w:rPr>
          <w:iCs/>
          <w:i/>
        </w:rPr>
        <w:t xml:space="preserve">function</w:t>
      </w:r>
      <w:r>
        <w:rPr>
          <w:iCs/>
          <w:i/>
        </w:rPr>
        <w:t xml:space="preserve"> </w:t>
      </w:r>
      <w:r>
        <w:rPr>
          <w:rStyle w:val="VerbatimChar"/>
          <w:iCs/>
          <w:i/>
        </w:rPr>
        <w:t xml:space="preserve">fig_4_4_growth_pathway()</w:t>
      </w:r>
      <w:r>
        <w:rPr>
          <w:iCs/>
          <w:i/>
        </w:rPr>
        <w:t xml:space="preserve">.</w:t>
      </w:r>
    </w:p>
    <w:p>
      <w:pPr>
        <w:pStyle w:val="BodyText"/>
      </w:pPr>
      <w:r>
        <w:drawing>
          <wp:inline>
            <wp:extent cx="5753100" cy="2222977"/>
            <wp:effectExtent b="0" l="0" r="0" t="0"/>
            <wp:docPr descr="Hình 4.7 — Spider chart 5 chiều × 2 mốc thời gian (Advanced, Emerging, SIDS)" title="" id="46" name="Picture"/>
            <a:graphic>
              <a:graphicData uri="http://schemas.openxmlformats.org/drawingml/2006/picture">
                <pic:pic>
                  <pic:nvPicPr>
                    <pic:cNvPr descr="figures/fig_4_7_spider_chart.png" id="47" name="Picture"/>
                    <pic:cNvPicPr>
                      <a:picLocks noChangeArrowheads="1" noChangeAspect="1"/>
                    </pic:cNvPicPr>
                  </pic:nvPicPr>
                  <pic:blipFill>
                    <a:blip r:embed="rId45"/>
                    <a:stretch>
                      <a:fillRect/>
                    </a:stretch>
                  </pic:blipFill>
                  <pic:spPr bwMode="auto">
                    <a:xfrm>
                      <a:off x="0" y="0"/>
                      <a:ext cx="5753100" cy="2222977"/>
                    </a:xfrm>
                    <a:prstGeom prst="rect">
                      <a:avLst/>
                    </a:prstGeom>
                    <a:noFill/>
                    <a:ln w="9525">
                      <a:noFill/>
                      <a:headEnd/>
                      <a:tailEnd/>
                    </a:ln>
                  </pic:spPr>
                </pic:pic>
              </a:graphicData>
            </a:graphic>
          </wp:inline>
        </w:drawing>
      </w:r>
    </w:p>
    <w:p>
      <w:pPr>
        <w:pStyle w:val="BodyText"/>
      </w:pPr>
      <w:r>
        <w:rPr>
          <w:iCs/>
          <w:i/>
        </w:rPr>
        <w:t xml:space="preserve">Hình 4.7. Radar/spider chart cho 3 phân nhóm con (Advanced, Emerging, SIDS) trên 5 chiều (FSTS, Innovation product, R&amp;D, Website, ISO) với 2 mốc thời gian (2009–2012 vs 2018–2025). Quan sát: SIDS có Innovation product cao đột biến + Website tăng mạnh giai đoạn 2018-2025 (digital leapfrog confirmed). Advanced ổn định high level. Emerging: ISO + R&amp;D thay đổi mạnh, FSTS giảm. Tái lập:</w:t>
      </w:r>
      <w:r>
        <w:rPr>
          <w:iCs/>
          <w:i/>
        </w:rPr>
        <w:t xml:space="preserve"> </w:t>
      </w:r>
      <w:r>
        <w:rPr>
          <w:rStyle w:val="VerbatimChar"/>
          <w:iCs/>
          <w:i/>
        </w:rPr>
        <w:t xml:space="preserve">generate_figures.py</w:t>
      </w:r>
      <w:r>
        <w:rPr>
          <w:iCs/>
          <w:i/>
        </w:rPr>
        <w:t xml:space="preserve"> </w:t>
      </w:r>
      <w:r>
        <w:rPr>
          <w:iCs/>
          <w:i/>
        </w:rPr>
        <w:t xml:space="preserve">function</w:t>
      </w:r>
      <w:r>
        <w:rPr>
          <w:iCs/>
          <w:i/>
        </w:rPr>
        <w:t xml:space="preserve"> </w:t>
      </w:r>
      <w:r>
        <w:rPr>
          <w:rStyle w:val="VerbatimChar"/>
          <w:iCs/>
          <w:i/>
        </w:rPr>
        <w:t xml:space="preserve">fig_4_7_spider_chart()</w:t>
      </w:r>
      <w:r>
        <w:rPr>
          <w:iCs/>
          <w:i/>
        </w:rPr>
        <w:t xml:space="preserve">.</w:t>
      </w:r>
    </w:p>
    <w:bookmarkEnd w:id="48"/>
    <w:bookmarkStart w:id="50" w:name="X47afba15eda09d6304b88468d99af6dab5ef69e"/>
    <w:p>
      <w:pPr>
        <w:pStyle w:val="Heading3"/>
      </w:pPr>
      <w:r>
        <w:t xml:space="preserve">4.7 Tổng hợp Chương 4 (mở rộng D4 — 10 kết luận chính)</w:t>
      </w:r>
    </w:p>
    <w:p>
      <w:pPr>
        <w:pStyle w:val="FirstParagraph"/>
      </w:pPr>
      <w:r>
        <w:t xml:space="preserve">Chương 4 cung cấp bức tranh thực trạng đa chiều dựa trên</w:t>
      </w:r>
      <w:r>
        <w:t xml:space="preserve"> </w:t>
      </w:r>
      <w:r>
        <w:rPr>
          <w:bCs/>
          <w:b/>
        </w:rPr>
        <w:t xml:space="preserve">101.185 doanh nghiệp ở 47 nền kinh tế châu Á và Thái Bình Dương (108 cặp QG×năm) trong giai đoạn 2009–2025</w:t>
      </w:r>
      <w:r>
        <w:t xml:space="preserve"> </w:t>
      </w:r>
      <w:r>
        <w:t xml:space="preserve">từ nhóm dữ liệu WBES sau hài hòa. Đây là phạm vi rộng nhất từng có cho nghiên cứu I→P trong văn liệu IB, mở rộng từ 17 nước châu Á mới nổi (Đỗ &amp; Phan, 2026 — VEFR) khoảng 2,5 lần.</w:t>
      </w:r>
    </w:p>
    <w:p>
      <w:pPr>
        <w:pStyle w:val="BodyText"/>
      </w:pPr>
      <w:r>
        <w:rPr>
          <w:bCs/>
          <w:b/>
        </w:rPr>
        <w:t xml:space="preserve">Mười kết luận chính</w:t>
      </w:r>
      <w:r>
        <w:t xml:space="preserve">:</w:t>
      </w:r>
    </w:p>
    <w:p>
      <w:pPr>
        <w:pStyle w:val="BodyText"/>
      </w:pPr>
      <w:r>
        <w:rPr>
          <w:bCs/>
          <w:b/>
        </w:rPr>
        <w:t xml:space="preserve">(i) Phân tán năng suất nội bộ tăng đơn điệu khi phân nhóm con suy giảm</w:t>
      </w:r>
      <w:r>
        <w:t xml:space="preserve">: Advanced 0,86 → Upper-middle 1,29 ≈ Emerging 1,24 ≈ SIDS 1,32 → Frontier 1,36. Tỷ số P90/P10 leo từ 10,8 lần lên 39,6 lần. Pattern khẳng định</w:t>
      </w:r>
      <w:r>
        <w:t xml:space="preserve"> </w:t>
      </w:r>
      <w:r>
        <w:rPr>
          <w:bCs/>
          <w:b/>
        </w:rPr>
        <w:t xml:space="preserve">giả thuyết phân bổ sai nguồn lực</w:t>
      </w:r>
      <w:r>
        <w:t xml:space="preserve"> </w:t>
      </w:r>
      <w:r>
        <w:t xml:space="preserve">(Hsieh &amp; Klenow, 2009, 2014).</w:t>
      </w:r>
    </w:p>
    <w:p>
      <w:pPr>
        <w:pStyle w:val="BodyText"/>
      </w:pPr>
      <w:r>
        <w:rPr>
          <w:bCs/>
          <w:b/>
        </w:rPr>
        <w:t xml:space="preserve">(ii) Dị biệt nội bộ phân nhóm Advanced</w:t>
      </w:r>
      <w:r>
        <w:t xml:space="preserve">. Sự sụt giảm phân tán từ 1,00 (chỉ innovation-driven) xuống 0,86 (sau khi thêm Vùng Vịnh resource-driven) gợi ý cần</w:t>
      </w:r>
      <w:r>
        <w:t xml:space="preserve"> </w:t>
      </w:r>
      <w:r>
        <w:rPr>
          <w:bCs/>
          <w:b/>
        </w:rPr>
        <w:t xml:space="preserve">phân nhóm con (sub-grouping) Advanced</w:t>
      </w:r>
      <w:r>
        <w:t xml:space="preserve"> </w:t>
      </w:r>
      <w:r>
        <w:t xml:space="preserve">trong CĐ2. Tỷ số phân tán Singapore (1,03) so với Vùng Vịnh (0,49) ≈</w:t>
      </w:r>
      <w:r>
        <w:t xml:space="preserve"> </w:t>
      </w:r>
      <w:r>
        <w:rPr>
          <w:bCs/>
          <w:b/>
        </w:rPr>
        <w:t xml:space="preserve">2,1 lần</w:t>
      </w:r>
      <w:r>
        <w:t xml:space="preserve"> </w:t>
      </w:r>
      <w:r>
        <w:t xml:space="preserve">— đã được tách trực quan trong</w:t>
      </w:r>
      <w:r>
        <w:t xml:space="preserve"> </w:t>
      </w:r>
      <w:r>
        <w:rPr>
          <w:bCs/>
          <w:b/>
        </w:rPr>
        <w:t xml:space="preserve">Bảng 4.1 (v3.1)</w:t>
      </w:r>
      <w:r>
        <w:t xml:space="preserve">.</w:t>
      </w:r>
    </w:p>
    <w:p>
      <w:pPr>
        <w:pStyle w:val="BodyText"/>
      </w:pPr>
      <w:r>
        <w:rPr>
          <w:bCs/>
          <w:b/>
        </w:rPr>
        <w:t xml:space="preserve">(iii) Dị biệt nội bộ phân nhóm Emerging — 3 phân nhóm con</w:t>
      </w:r>
      <w:r>
        <w:t xml:space="preserve"> </w:t>
      </w:r>
      <w:r>
        <w:rPr>
          <w:iCs/>
          <w:i/>
        </w:rPr>
        <w:t xml:space="preserve">(NEW D1, §4.9)</w:t>
      </w:r>
      <w:r>
        <w:t xml:space="preserve">. FDI dẫn dắt SEA (VNM+IDN+PHL, FSTS 13,2%) ≠ dân số lớn (IND+LKA+JOR, FSTS 7,2%) ≠ tài nguyên (MNG, FSTS 5,0%). TCI ngược dấu —</w:t>
      </w:r>
      <w:r>
        <w:t xml:space="preserve"> </w:t>
      </w:r>
      <w:r>
        <w:rPr>
          <w:bCs/>
          <w:b/>
        </w:rPr>
        <w:t xml:space="preserve">học hỏi do FDI dẫn dắt vs học hỏi tự thân</w:t>
      </w:r>
      <w:r>
        <w:t xml:space="preserve"> </w:t>
      </w:r>
      <w:r>
        <w:t xml:space="preserve">(Cohen &amp; Levinthal, 1990).</w:t>
      </w:r>
    </w:p>
    <w:p>
      <w:pPr>
        <w:pStyle w:val="BodyText"/>
      </w:pPr>
      <w:r>
        <w:rPr>
          <w:bCs/>
          <w:b/>
        </w:rPr>
        <w:t xml:space="preserve">(iv) SIDS Thái Bình Dương (7 nước, n=1.371)</w:t>
      </w:r>
      <w:r>
        <w:t xml:space="preserve">: phân tán 1,32, đổi mới sản phẩm cao nhất (41,5%), website 58,9% gần Advanced.</w:t>
      </w:r>
      <w:r>
        <w:t xml:space="preserve"> </w:t>
      </w:r>
      <w:r>
        <w:rPr>
          <w:bCs/>
          <w:b/>
        </w:rPr>
        <w:t xml:space="preserve">Kiribati 2025 là trường hợp biên CỰC ĐOAN nhất với FSTS 1,03%, FDI 0,7%, website 18,7%, ISO 1,3% — gợi ý dị biệt nội bộ SIDS giữa "high digital leapfrog" (Fiji, Maldives) và "isolated rural" (Kiribati).</w:t>
      </w:r>
      <w:r>
        <w:t xml:space="preserve"> </w:t>
      </w:r>
      <w:r>
        <w:t xml:space="preserve">Cơ sở cho</w:t>
      </w:r>
      <w:r>
        <w:t xml:space="preserve"> </w:t>
      </w:r>
      <w:r>
        <w:rPr>
          <w:bCs/>
          <w:b/>
        </w:rPr>
        <w:t xml:space="preserve">H6 (forced internationalization penalty)</w:t>
      </w:r>
      <w:r>
        <w:t xml:space="preserve"> </w:t>
      </w:r>
      <w:r>
        <w:t xml:space="preserve">(Briguglio, 1995; Bertram, 2006).</w:t>
      </w:r>
    </w:p>
    <w:p>
      <w:pPr>
        <w:pStyle w:val="BodyText"/>
      </w:pPr>
      <w:r>
        <w:rPr>
          <w:bCs/>
          <w:b/>
        </w:rPr>
        <w:t xml:space="preserve">(v) Quốc tế hóa là hiện tượng phân cực</w:t>
      </w:r>
      <w:r>
        <w:t xml:space="preserve">: trung vị FSTS = 0% xuyên năm phân nhóm con; chỉ 15–23% doanh nghiệp xuất khẩu. Cần</w:t>
      </w:r>
      <w:r>
        <w:t xml:space="preserve"> </w:t>
      </w:r>
      <w:r>
        <w:rPr>
          <w:bCs/>
          <w:b/>
        </w:rPr>
        <w:t xml:space="preserve">lựa chọn hai giai đoạn (2-stage selection)</w:t>
      </w:r>
      <w:r>
        <w:t xml:space="preserve"> </w:t>
      </w:r>
      <w:r>
        <w:t xml:space="preserve">trong CĐ2.</w:t>
      </w:r>
    </w:p>
    <w:p>
      <w:pPr>
        <w:pStyle w:val="BodyText"/>
      </w:pPr>
      <w:r>
        <w:rPr>
          <w:bCs/>
          <w:b/>
        </w:rPr>
        <w:t xml:space="preserve">(vi) Nhảy vọt số (digital leapfrog) 2018–2025</w:t>
      </w:r>
      <w:r>
        <w:t xml:space="preserve"> </w:t>
      </w:r>
      <w:r>
        <w:t xml:space="preserve">ở Frontier/Emerging/SIDS (+20–43 đpt website) — bằng chứng tái định vị Uppsala (Banalieva &amp; Dhanaraj, 2019).</w:t>
      </w:r>
      <w:r>
        <w:t xml:space="preserve"> </w:t>
      </w:r>
      <w:r>
        <w:rPr>
          <w:iCs/>
          <w:i/>
        </w:rPr>
        <w:t xml:space="preserve">Kiribati 2025 không thể hiện leapfrog (website 18,7%) — cần điều kiện hạ tầng tối thiểu mà Kiribati chưa đạt.</w:t>
      </w:r>
      <w:r>
        <w:t xml:space="preserve"> </w:t>
      </w:r>
      <w:r>
        <w:t xml:space="preserve">**: Cần phân biệt</w:t>
      </w:r>
      <w:r>
        <w:t xml:space="preserve"> </w:t>
      </w:r>
      <w:r>
        <w:rPr>
          <w:bCs/>
          <w:b/>
        </w:rPr>
        <w:t xml:space="preserve">Tier-1 Digital Presence</w:t>
      </w:r>
      <w:r>
        <w:t xml:space="preserve"> </w:t>
      </w:r>
      <w:r>
        <w:t xml:space="preserve">(website binary, đo trong Spec 1, đã bão hòa ở Advanced từ trước 2018) vs</w:t>
      </w:r>
      <w:r>
        <w:t xml:space="preserve"> </w:t>
      </w:r>
      <w:r>
        <w:rPr>
          <w:bCs/>
          <w:b/>
        </w:rPr>
        <w:t xml:space="preserve">Tier-2 Digital Transformation</w:t>
      </w:r>
      <w:r>
        <w:t xml:space="preserve"> </w:t>
      </w:r>
      <w:r>
        <w:t xml:space="preserve">(DAI multi-component — e-commerce, cloud, AI adoption — đo trong Spec 2 với 5 thành phần). Hệ số âm DAI ở Advanced trong Spec 1 (-0,129) KHÔNG phản ánh "số hóa làm giảm năng suất" mà là</w:t>
      </w:r>
      <w:r>
        <w:t xml:space="preserve"> </w:t>
      </w:r>
      <w:r>
        <w:rPr>
          <w:bCs/>
          <w:b/>
        </w:rPr>
        <w:t xml:space="preserve">artifact của Tier-1 saturation</w:t>
      </w:r>
      <w:r>
        <w:t xml:space="preserve"> </w:t>
      </w:r>
      <w:r>
        <w:t xml:space="preserve">ở các nước tiên tiến — xem §4.4.5 ICT exclusion test.</w:t>
      </w:r>
    </w:p>
    <w:p>
      <w:pPr>
        <w:pStyle w:val="BodyText"/>
      </w:pPr>
      <w:r>
        <w:rPr>
          <w:bCs/>
          <w:b/>
        </w:rPr>
        <w:t xml:space="preserve">(vii) Pattern phi tuyến FDI ≥10%</w:t>
      </w:r>
      <w:r>
        <w:t xml:space="preserve"> </w:t>
      </w:r>
      <w:r>
        <w:t xml:space="preserve">— dạng chữ U với cực tiểu Emerging (4,7%): Advanced 11,1% → Upper-middle 8,4% → Emerging 4,7% → Frontier 5,9% → SIDS 23,5%. Hai mô hình FDI: (a) Advanced — MNE hub + Vùng Vịnh hạn chế; (b) SIDS — du lịch + viễn thông.</w:t>
      </w:r>
    </w:p>
    <w:p>
      <w:pPr>
        <w:pStyle w:val="BodyText"/>
      </w:pPr>
      <w:r>
        <w:rPr>
          <w:bCs/>
          <w:b/>
        </w:rPr>
        <w:t xml:space="preserve">(viii) Đợt khảo sát 2025 — mẫu đơn năm lớn nhất</w:t>
      </w:r>
      <w:r>
        <w:t xml:space="preserve"> </w:t>
      </w:r>
      <w:r>
        <w:rPr>
          <w:iCs/>
          <w:i/>
        </w:rPr>
        <w:t xml:space="preserve">(NEW D2)</w:t>
      </w:r>
      <w:r>
        <w:t xml:space="preserve">.</w:t>
      </w:r>
      <w:r>
        <w:t xml:space="preserve"> </w:t>
      </w:r>
      <w:r>
        <w:rPr>
          <w:bCs/>
          <w:b/>
        </w:rPr>
        <w:t xml:space="preserve">14 nước × 16.979 doanh nghiệp</w:t>
      </w:r>
      <w:r>
        <w:t xml:space="preserve">: (a) IND FSTS sụt 5 đpt (schema + Atmanirbhar Bharat); (b) Fiji website 74,8% &gt; Singapore 66,1%;</w:t>
      </w:r>
      <w:r>
        <w:t xml:space="preserve"> </w:t>
      </w:r>
      <w:r>
        <w:rPr>
          <w:bCs/>
          <w:b/>
        </w:rPr>
        <w:t xml:space="preserve">Kiribati đối lập với website 18,7%, FSTS 1,03%</w:t>
      </w:r>
      <w:r>
        <w:t xml:space="preserve">; (c) Vùng Vịnh+Brunei resource-driven Advanced confirmed; (d) R&amp;D schema-induced overestimation cảnh báo.</w:t>
      </w:r>
    </w:p>
    <w:p>
      <w:pPr>
        <w:pStyle w:val="BodyText"/>
      </w:pPr>
      <w:r>
        <w:rPr>
          <w:bCs/>
          <w:b/>
        </w:rPr>
        <w:t xml:space="preserve">(ix) Khung phân tích cấp ngành (industry-level)</w:t>
      </w:r>
      <w:r>
        <w:t xml:space="preserve"> </w:t>
      </w:r>
      <w:r>
        <w:rPr>
          <w:iCs/>
          <w:i/>
        </w:rPr>
        <w:t xml:space="preserve">(NEW D3, §4.8)</w:t>
      </w:r>
      <w:r>
        <w:t xml:space="preserve">. 9 ngành ISIC Rev. 4: Manufacturing-only subsample, ICT exclusion test, Construction subsample test Vùng Vịnh, Tourism/Hotels separation cho SIDS. 5 giả thuyết I1-I5.</w:t>
      </w:r>
    </w:p>
    <w:p>
      <w:pPr>
        <w:pStyle w:val="BodyText"/>
      </w:pPr>
      <w:r>
        <w:rPr>
          <w:bCs/>
          <w:b/>
        </w:rPr>
        <w:t xml:space="preserve">(x) Pipeline tái lập được cho 4 thế hệ schema WBES</w:t>
      </w:r>
      <w:r>
        <w:t xml:space="preserve">. Pipeline 5 bước Python; tất cả Bảng 4.1–4.10, 5.1, 6.1, Phụ lục A đều tái tạo được.</w:t>
      </w:r>
      <w:r>
        <w:t xml:space="preserve"> </w:t>
      </w:r>
      <w:r>
        <w:rPr>
          <w:bCs/>
          <w:b/>
        </w:rPr>
        <w:t xml:space="preserve">Gói tái lập (replication package)</w:t>
      </w:r>
      <w:r>
        <w:t xml:space="preserve"> </w:t>
      </w:r>
      <w:r>
        <w:t xml:space="preserve">mở.</w:t>
      </w:r>
    </w:p>
    <w:p>
      <w:pPr>
        <w:pStyle w:val="BodyText"/>
      </w:pPr>
      <w:r>
        <w:rPr>
          <w:bCs/>
          <w:b/>
        </w:rPr>
        <w:t xml:space="preserve">Hàm ý cho CĐ2 và luận án</w:t>
      </w:r>
      <w:r>
        <w:t xml:space="preserve">:</w:t>
      </w:r>
    </w:p>
    <w:p>
      <w:pPr>
        <w:pStyle w:val="BodyText"/>
      </w:pPr>
      <w:r>
        <w:t xml:space="preserve">(a)</w:t>
      </w:r>
      <w:r>
        <w:t xml:space="preserve"> </w:t>
      </w:r>
      <w:r>
        <w:rPr>
          <w:bCs/>
          <w:b/>
        </w:rPr>
        <w:t xml:space="preserve">Hệ giả thuyết H1–H6</w:t>
      </w:r>
      <w:r>
        <w:t xml:space="preserve">: H1 phi tuyến; H2 TCI điều tiết; H3 DAI có điều kiện; H4 phân nhóm con thể chế (5+8 phân nhóm con); H5 cụm tài nguyên; H6 chi phí buộc phải quốc tế hóa (</w:t>
      </w:r>
      <w:r>
        <w:rPr>
          <w:bCs/>
          <w:b/>
        </w:rPr>
        <w:t xml:space="preserve">7 SIDS gồm Kiribati extreme</w:t>
      </w:r>
      <w:r>
        <w:t xml:space="preserve">).</w:t>
      </w:r>
    </w:p>
    <w:p>
      <w:pPr>
        <w:pStyle w:val="BodyText"/>
      </w:pPr>
      <w:r>
        <w:t xml:space="preserve">(b)</w:t>
      </w:r>
      <w:r>
        <w:t xml:space="preserve"> </w:t>
      </w:r>
      <w:r>
        <w:rPr>
          <w:bCs/>
          <w:b/>
        </w:rPr>
        <w:t xml:space="preserve">8 phân nhóm con với hiệu ứng cố định</w:t>
      </w:r>
      <w:r>
        <w:t xml:space="preserve"> </w:t>
      </w:r>
      <w:r>
        <w:t xml:space="preserve">cho CĐ2.</w:t>
      </w:r>
    </w:p>
    <w:p>
      <w:pPr>
        <w:pStyle w:val="BodyText"/>
      </w:pPr>
      <w:r>
        <w:t xml:space="preserve">(c)</w:t>
      </w:r>
      <w:r>
        <w:t xml:space="preserve"> </w:t>
      </w:r>
      <w:r>
        <w:rPr>
          <w:bCs/>
          <w:b/>
        </w:rPr>
        <w:t xml:space="preserve">Hai đặc tả mô hình kiểm định vững</w:t>
      </w:r>
      <w:r>
        <w:t xml:space="preserve">: Đặc tả 1 — phạm vi đầy đủ (n=101.185); Đặc tả 2 — 2018-2025 (n≈50.000, DAI/TCI 5 thành phần).</w:t>
      </w:r>
    </w:p>
    <w:p>
      <w:pPr>
        <w:pStyle w:val="BodyText"/>
      </w:pPr>
      <w:r>
        <w:t xml:space="preserve">(d)</w:t>
      </w:r>
      <w:r>
        <w:t xml:space="preserve"> </w:t>
      </w:r>
      <w:r>
        <w:rPr>
          <w:bCs/>
          <w:b/>
        </w:rPr>
        <w:t xml:space="preserve">Industry FE + 5 kiểm định vững mẫu con</w:t>
      </w:r>
      <w:r>
        <w:t xml:space="preserve"> </w:t>
      </w:r>
      <w:r>
        <w:rPr>
          <w:iCs/>
          <w:i/>
        </w:rPr>
        <w:t xml:space="preserve">(NEW D3)</w:t>
      </w:r>
      <w:r>
        <w:t xml:space="preserve">.</w:t>
      </w:r>
    </w:p>
    <w:p>
      <w:pPr>
        <w:pStyle w:val="BodyText"/>
      </w:pPr>
      <w:r>
        <w:rPr>
          <w:bCs/>
          <w:b/>
        </w:rPr>
        <w:t xml:space="preserve">Phạm vi không trình bày</w:t>
      </w:r>
      <w:r>
        <w:t xml:space="preserve">: hồi quy đa biến (CĐ2); panel/IV identification (CĐ2); industry-level descriptive tables (Phase 2 7/2026); năng suất USD PPP (Phase 1 6/2026); resource dependence trực tiếp (Phase 1).</w:t>
      </w:r>
    </w:p>
    <w:bookmarkStart w:id="49" w:name="Xf63aadf8066ea37d60f1882df941c784fa6d787"/>
    <w:p>
      <w:pPr>
        <w:pStyle w:val="Heading4"/>
      </w:pPr>
      <w:r>
        <w:t xml:space="preserve">4.7.5 Phân biệt 3 thuật ngữ tham nhũng trong WBES — Bribery vs Graft</w:t>
      </w:r>
    </w:p>
    <w:p>
      <w:pPr>
        <w:pStyle w:val="BlockText"/>
      </w:pPr>
      <w:r>
        <w:rPr>
          <w:bCs/>
          <w:b/>
        </w:rPr>
        <w:t xml:space="preserve">Nguồn chuẩn</w:t>
      </w:r>
      <w:r>
        <w:t xml:space="preserve">: World Bank (n.d.).</w:t>
      </w:r>
      <w:r>
        <w:t xml:space="preserve"> </w:t>
      </w:r>
      <w:r>
        <w:rPr>
          <w:iCs/>
          <w:i/>
        </w:rPr>
        <w:t xml:space="preserve">Tài liệu tóm tắt: Các chỉ số khảo sát doanh nghiệp Enterprise Surveys</w:t>
      </w:r>
      <w:r>
        <w:t xml:space="preserve"> </w:t>
      </w:r>
      <w:r>
        <w:t xml:space="preserve">(file 04 v2.5 Section L). Cross-cite glossary v1.2 Nhóm 6 #53-54 (commit e9a73ae) + Nhóm 7 #64-66 (commit beb47d3).</w:t>
      </w:r>
    </w:p>
    <w:p>
      <w:pPr>
        <w:pStyle w:val="FirstParagraph"/>
      </w:pPr>
      <w:r>
        <w:t xml:space="preserve">WBES đo lường tham nhũng qua</w:t>
      </w:r>
      <w:r>
        <w:t xml:space="preserve"> </w:t>
      </w:r>
      <w:r>
        <w:rPr>
          <w:bCs/>
          <w:b/>
        </w:rPr>
        <w:t xml:space="preserve">3 chỉ số riêng biệt</w:t>
      </w:r>
      <w:r>
        <w:t xml:space="preserve"> </w:t>
      </w:r>
      <w:r>
        <w:t xml:space="preserve">— phân biệt rõ giữa</w:t>
      </w:r>
      <w:r>
        <w:t xml:space="preserve"> </w:t>
      </w:r>
      <w:r>
        <w:rPr>
          <w:bCs/>
          <w:b/>
        </w:rPr>
        <w:t xml:space="preserve">hành vi chủ thể</w:t>
      </w:r>
      <w:r>
        <w:t xml:space="preserve"> </w:t>
      </w:r>
      <w:r>
        <w:t xml:space="preserve">(subject behavior — hối lộ vs tham ô) và</w:t>
      </w:r>
      <w:r>
        <w:t xml:space="preserve"> </w:t>
      </w:r>
      <w:r>
        <w:rPr>
          <w:bCs/>
          <w:b/>
        </w:rPr>
        <w:t xml:space="preserve">mức độ phổ biến</w:t>
      </w:r>
      <w:r>
        <w:t xml:space="preserve"> </w:t>
      </w:r>
      <w:r>
        <w:t xml:space="preserve">(incidence vs depth). Sự phân biệt này quan trọng cho phân tích chính sách: hối lộ và tham ô có nguyên nhân + giải pháp khác nhau, dù đôi khi gộp chung dưới label "tham nhũng" trong văn liệu chính sách Việt Nam.</w:t>
      </w:r>
    </w:p>
    <w:p>
      <w:pPr>
        <w:pStyle w:val="BodyText"/>
      </w:pPr>
      <w:r>
        <w:rPr>
          <w:bCs/>
          <w:b/>
        </w:rPr>
        <w:t xml:space="preserve">Bảng 4.7.5</w:t>
      </w:r>
      <w:r>
        <w:t xml:space="preserve">.</w:t>
      </w:r>
      <w:r>
        <w:t xml:space="preserve"> </w:t>
      </w:r>
      <w:r>
        <w:rPr>
          <w:iCs/>
          <w:i/>
        </w:rPr>
        <w:t xml:space="preserve">Phân biệt 3 chỉ số tham nhũng WBES — định nghĩa chính thức + cách đo + ngưỡng cảnh báo.</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Chỉ số (Tiếng Anh)</w:t>
            </w:r>
          </w:p>
        </w:tc>
        <w:tc>
          <w:tcPr/>
          <w:p>
            <w:pPr>
              <w:pStyle w:val="Compact"/>
              <w:jc w:val="left"/>
            </w:pPr>
            <w:r>
              <w:t xml:space="preserve">Tiếng Việt CHUẨN WB</w:t>
            </w:r>
          </w:p>
        </w:tc>
        <w:tc>
          <w:tcPr/>
          <w:p>
            <w:pPr>
              <w:pStyle w:val="Compact"/>
              <w:jc w:val="left"/>
            </w:pPr>
            <w:r>
              <w:t xml:space="preserve">Định nghĩa</w:t>
            </w:r>
          </w:p>
        </w:tc>
        <w:tc>
          <w:tcPr/>
          <w:p>
            <w:pPr>
              <w:pStyle w:val="Compact"/>
              <w:jc w:val="left"/>
            </w:pPr>
            <w:r>
              <w:t xml:space="preserve">Cách đo (công thức)</w:t>
            </w:r>
          </w:p>
        </w:tc>
        <w:tc>
          <w:tcPr/>
          <w:p>
            <w:pPr>
              <w:pStyle w:val="Compact"/>
              <w:jc w:val="left"/>
            </w:pPr>
            <w:r>
              <w:t xml:space="preserve">Ngưỡng cảnh báo</w:t>
            </w:r>
          </w:p>
        </w:tc>
      </w:tr>
      <w:tr>
        <w:tc>
          <w:tcPr/>
          <w:p>
            <w:pPr>
              <w:pStyle w:val="Compact"/>
              <w:jc w:val="left"/>
            </w:pPr>
            <w:r>
              <w:t xml:space="preserve">(a)</w:t>
            </w:r>
          </w:p>
        </w:tc>
        <w:tc>
          <w:tcPr/>
          <w:p>
            <w:pPr>
              <w:pStyle w:val="Compact"/>
              <w:jc w:val="left"/>
            </w:pPr>
            <w:r>
              <w:rPr>
                <w:bCs/>
                <w:b/>
              </w:rPr>
              <w:t xml:space="preserve">Bribery</w:t>
            </w:r>
            <w:r>
              <w:t xml:space="preserve"> </w:t>
            </w:r>
            <w:r>
              <w:rPr>
                <w:iCs/>
                <w:i/>
              </w:rPr>
              <w:t xml:space="preserve">(khái niệm gốc)</w:t>
            </w:r>
          </w:p>
        </w:tc>
        <w:tc>
          <w:tcPr/>
          <w:p>
            <w:pPr>
              <w:pStyle w:val="Compact"/>
              <w:jc w:val="left"/>
            </w:pPr>
            <w:r>
              <w:rPr>
                <w:bCs/>
                <w:b/>
              </w:rPr>
              <w:t xml:space="preserve">Hối lộ</w:t>
            </w:r>
          </w:p>
        </w:tc>
        <w:tc>
          <w:tcPr/>
          <w:p>
            <w:pPr>
              <w:pStyle w:val="Compact"/>
              <w:jc w:val="left"/>
            </w:pPr>
            <w:r>
              <w:t xml:space="preserve">Hành vi đưa/nhận tiền/quà cho lợi thế trong giao dịch công (cấp phép, thanh tra, hoàn thuế, kết nối điện thoại/điện)</w:t>
            </w:r>
          </w:p>
        </w:tc>
        <w:tc>
          <w:tcPr/>
          <w:p>
            <w:pPr>
              <w:pStyle w:val="Compact"/>
              <w:jc w:val="left"/>
            </w:pPr>
            <w:r>
              <w:t xml:space="preserve">(đo qua 3 chỉ số dưới đây)</w:t>
            </w:r>
          </w:p>
        </w:tc>
        <w:tc>
          <w:tcPr/>
          <w:p>
            <w:pPr>
              <w:pStyle w:val="Compact"/>
              <w:jc w:val="left"/>
            </w:pPr>
            <w:r>
              <w:t xml:space="preserve">—</w:t>
            </w:r>
          </w:p>
        </w:tc>
      </w:tr>
      <w:tr>
        <w:tc>
          <w:tcPr/>
          <w:p>
            <w:pPr>
              <w:pStyle w:val="Compact"/>
              <w:jc w:val="left"/>
            </w:pPr>
            <w:r>
              <w:t xml:space="preserve">(b)</w:t>
            </w:r>
          </w:p>
        </w:tc>
        <w:tc>
          <w:tcPr/>
          <w:p>
            <w:pPr>
              <w:pStyle w:val="Compact"/>
              <w:jc w:val="left"/>
            </w:pPr>
            <w:r>
              <w:rPr>
                <w:bCs/>
                <w:b/>
              </w:rPr>
              <w:t xml:space="preserve">Graft</w:t>
            </w:r>
            <w:r>
              <w:t xml:space="preserve"> </w:t>
            </w:r>
            <w:r>
              <w:rPr>
                <w:iCs/>
                <w:i/>
              </w:rPr>
              <w:t xml:space="preserve">(khái niệm gốc)</w:t>
            </w:r>
          </w:p>
        </w:tc>
        <w:tc>
          <w:tcPr/>
          <w:p>
            <w:pPr>
              <w:pStyle w:val="Compact"/>
              <w:jc w:val="left"/>
            </w:pPr>
            <w:r>
              <w:rPr>
                <w:bCs/>
                <w:b/>
              </w:rPr>
              <w:t xml:space="preserve">Tham ô</w:t>
            </w:r>
            <w:r>
              <w:t xml:space="preserve"> </w:t>
            </w:r>
            <w:r>
              <w:rPr>
                <w:iCs/>
                <w:i/>
              </w:rPr>
              <w:t xml:space="preserve">(rộng hơn hối lộ)</w:t>
            </w:r>
          </w:p>
        </w:tc>
        <w:tc>
          <w:tcPr/>
          <w:p>
            <w:pPr>
              <w:pStyle w:val="Compact"/>
              <w:jc w:val="left"/>
            </w:pPr>
            <w:r>
              <w:t xml:space="preserve">Biển thủ công quỹ + lạm dụng chức vụ trục lợi cá nhân</w:t>
            </w:r>
          </w:p>
        </w:tc>
        <w:tc>
          <w:tcPr/>
          <w:p>
            <w:pPr>
              <w:pStyle w:val="Compact"/>
              <w:jc w:val="left"/>
            </w:pPr>
            <w:r>
              <w:t xml:space="preserve">(đo qua chỉ số (b-1) dưới đây)</w:t>
            </w:r>
          </w:p>
        </w:tc>
        <w:tc>
          <w:tcPr/>
          <w:p>
            <w:pPr>
              <w:pStyle w:val="Compact"/>
              <w:jc w:val="left"/>
            </w:pPr>
            <w:r>
              <w:t xml:space="preserve">—</w:t>
            </w:r>
          </w:p>
        </w:tc>
      </w:tr>
      <w:tr>
        <w:tc>
          <w:tcPr/>
          <w:p>
            <w:pPr>
              <w:pStyle w:val="Compact"/>
              <w:jc w:val="left"/>
            </w:pPr>
            <w:r>
              <w:t xml:space="preserve">(a-1)</w:t>
            </w:r>
          </w:p>
        </w:tc>
        <w:tc>
          <w:tcPr/>
          <w:p>
            <w:pPr>
              <w:pStyle w:val="Compact"/>
              <w:jc w:val="left"/>
            </w:pPr>
            <w:r>
              <w:rPr>
                <w:bCs/>
                <w:b/>
              </w:rPr>
              <w:t xml:space="preserve">Bribery Incidence</w:t>
            </w:r>
          </w:p>
        </w:tc>
        <w:tc>
          <w:tcPr/>
          <w:p>
            <w:pPr>
              <w:pStyle w:val="Compact"/>
              <w:jc w:val="left"/>
            </w:pPr>
            <w:r>
              <w:rPr>
                <w:bCs/>
                <w:b/>
              </w:rPr>
              <w:t xml:space="preserve">Tỷ lệ hối lộ</w:t>
            </w:r>
          </w:p>
        </w:tc>
        <w:tc>
          <w:tcPr/>
          <w:p>
            <w:pPr>
              <w:pStyle w:val="Compact"/>
              <w:jc w:val="left"/>
            </w:pPr>
            <w:r>
              <w:t xml:space="preserve">% DN gặp ít nhất 1 yêu cầu hối lộ trong 6 giao dịch công khảo sát</w:t>
            </w:r>
          </w:p>
        </w:tc>
        <w:tc>
          <w:tcPr/>
          <w:p>
            <w:pPr>
              <w:pStyle w:val="Compact"/>
              <w:jc w:val="left"/>
            </w:pPr>
            <w:r>
              <w:t xml:space="preserve">Tử số: # DN có ≥1 yêu cầu hối lộ; Mẫu: # DN trong khảo sát có giao dịch trong 6 dạng</w:t>
            </w:r>
          </w:p>
        </w:tc>
        <w:tc>
          <w:tcPr/>
          <w:p>
            <w:pPr>
              <w:pStyle w:val="Compact"/>
              <w:jc w:val="left"/>
            </w:pPr>
            <w:r>
              <w:t xml:space="preserve">&gt;20% = báo động đỏ</w:t>
            </w:r>
          </w:p>
        </w:tc>
      </w:tr>
      <w:tr>
        <w:tc>
          <w:tcPr/>
          <w:p>
            <w:pPr>
              <w:pStyle w:val="Compact"/>
              <w:jc w:val="left"/>
            </w:pPr>
            <w:r>
              <w:t xml:space="preserve">(a-2)</w:t>
            </w:r>
          </w:p>
        </w:tc>
        <w:tc>
          <w:tcPr/>
          <w:p>
            <w:pPr>
              <w:pStyle w:val="Compact"/>
              <w:jc w:val="left"/>
            </w:pPr>
            <w:r>
              <w:rPr>
                <w:bCs/>
                <w:b/>
              </w:rPr>
              <w:t xml:space="preserve">Bribery Depth</w:t>
            </w:r>
          </w:p>
        </w:tc>
        <w:tc>
          <w:tcPr/>
          <w:p>
            <w:pPr>
              <w:pStyle w:val="Compact"/>
              <w:jc w:val="left"/>
            </w:pPr>
            <w:r>
              <w:rPr>
                <w:bCs/>
                <w:b/>
              </w:rPr>
              <w:t xml:space="preserve">Độ sâu hối lộ</w:t>
            </w:r>
          </w:p>
        </w:tc>
        <w:tc>
          <w:tcPr/>
          <w:p>
            <w:pPr>
              <w:pStyle w:val="Compact"/>
              <w:jc w:val="left"/>
            </w:pPr>
            <w:r>
              <w:t xml:space="preserve">% giao dịch công có hối lộ trên tổng số giao dịch công của DN</w:t>
            </w:r>
          </w:p>
        </w:tc>
        <w:tc>
          <w:tcPr/>
          <w:p>
            <w:pPr>
              <w:pStyle w:val="Compact"/>
              <w:jc w:val="left"/>
            </w:pPr>
            <w:r>
              <w:t xml:space="preserve">Tử số: # giao dịch có hối lộ; Mẫu: tổng # giao dịch công</w:t>
            </w:r>
          </w:p>
        </w:tc>
        <w:tc>
          <w:tcPr/>
          <w:p>
            <w:pPr>
              <w:pStyle w:val="Compact"/>
              <w:jc w:val="left"/>
            </w:pPr>
            <w:r>
              <w:t xml:space="preserve">&gt;15% = báo động đỏ</w:t>
            </w:r>
          </w:p>
        </w:tc>
      </w:tr>
      <w:tr>
        <w:tc>
          <w:tcPr/>
          <w:p>
            <w:pPr>
              <w:pStyle w:val="Compact"/>
              <w:jc w:val="left"/>
            </w:pPr>
            <w:r>
              <w:t xml:space="preserve">(b-1)</w:t>
            </w:r>
          </w:p>
        </w:tc>
        <w:tc>
          <w:tcPr/>
          <w:p>
            <w:pPr>
              <w:pStyle w:val="Compact"/>
              <w:jc w:val="left"/>
            </w:pPr>
            <w:r>
              <w:rPr>
                <w:bCs/>
                <w:b/>
              </w:rPr>
              <w:t xml:space="preserve">Graft Index</w:t>
            </w:r>
          </w:p>
        </w:tc>
        <w:tc>
          <w:tcPr/>
          <w:p>
            <w:pPr>
              <w:pStyle w:val="Compact"/>
              <w:jc w:val="left"/>
            </w:pPr>
            <w:r>
              <w:rPr>
                <w:bCs/>
                <w:b/>
              </w:rPr>
              <w:t xml:space="preserve">Chỉ số tham ô</w:t>
            </w:r>
          </w:p>
        </w:tc>
        <w:tc>
          <w:tcPr/>
          <w:p>
            <w:pPr>
              <w:pStyle w:val="Compact"/>
              <w:jc w:val="left"/>
            </w:pPr>
            <w:r>
              <w:t xml:space="preserve">Tỷ lệ hối lộ trong 6 giao dịch (gồm kết nối điện thoại/điện) NHƯNG</w:t>
            </w:r>
            <w:r>
              <w:t xml:space="preserve"> </w:t>
            </w:r>
            <w:r>
              <w:rPr>
                <w:bCs/>
                <w:b/>
              </w:rPr>
              <w:t xml:space="preserve">loại trừ thanh tra thuế</w:t>
            </w:r>
          </w:p>
        </w:tc>
        <w:tc>
          <w:tcPr/>
          <w:p>
            <w:pPr>
              <w:pStyle w:val="Compact"/>
              <w:jc w:val="left"/>
            </w:pPr>
            <w:r>
              <w:t xml:space="preserve">Tử số: như Bribery Incidence; Mẫu: 5 giao dịch (loại bỏ tax inspection vì thiên lệch khai thuế)</w:t>
            </w:r>
          </w:p>
        </w:tc>
        <w:tc>
          <w:tcPr/>
          <w:p>
            <w:pPr>
              <w:pStyle w:val="Compact"/>
              <w:jc w:val="left"/>
            </w:pPr>
            <w:r>
              <w:t xml:space="preserve">&gt;10% = báo động đỏ</w:t>
            </w:r>
          </w:p>
        </w:tc>
      </w:tr>
    </w:tbl>
    <w:p>
      <w:pPr>
        <w:pStyle w:val="BodyText"/>
      </w:pPr>
      <w:r>
        <w:rPr>
          <w:bCs/>
          <w:b/>
        </w:rPr>
        <w:t xml:space="preserve">Tại sao loại trừ thanh tra thuế khỏi Graft Index</w:t>
      </w:r>
      <w:r>
        <w:t xml:space="preserve">: Doanh nghiệp khai báo "phải hối lộ thanh tra thuế" có thể bị thiên lệch (selection bias) vì những DN trốn thuế dễ thừa nhận (do đã có hành vi vi phạm), trong khi DN tuân thủ thuế ít gặp tình huống thanh tra cụ thể. Loại trừ tax inspection giúp Graft Index phản ánh</w:t>
      </w:r>
      <w:r>
        <w:t xml:space="preserve"> </w:t>
      </w:r>
      <w:r>
        <w:rPr>
          <w:bCs/>
          <w:b/>
        </w:rPr>
        <w:t xml:space="preserve">tham ô hệ thống</w:t>
      </w:r>
      <w:r>
        <w:t xml:space="preserve"> </w:t>
      </w:r>
      <w:r>
        <w:t xml:space="preserve">(systemic graft) thay vì hành vi cá biệt liên quan đến trốn thuế.</w:t>
      </w:r>
    </w:p>
    <w:p>
      <w:pPr>
        <w:pStyle w:val="BodyText"/>
      </w:pPr>
      <w:r>
        <w:rPr>
          <w:bCs/>
          <w:b/>
        </w:rPr>
        <w:t xml:space="preserve">Hàm ý cho CĐ2 và luận án</w:t>
      </w:r>
      <w:r>
        <w:t xml:space="preserve">:</w:t>
      </w:r>
    </w:p>
    <w:p>
      <w:pPr>
        <w:numPr>
          <w:ilvl w:val="0"/>
          <w:numId w:val="1001"/>
        </w:numPr>
        <w:pStyle w:val="Compact"/>
      </w:pPr>
      <w:r>
        <w:rPr>
          <w:bCs/>
          <w:b/>
        </w:rPr>
        <w:t xml:space="preserve">(1) CĐ1 v3.x</w:t>
      </w:r>
      <w:r>
        <w:t xml:space="preserve"> </w:t>
      </w:r>
      <w:r>
        <w:t xml:space="preserve">sẽ dùng "Hối lộ" (Bribery) và "Tham ô" (Graft) thay vì "tham nhũng" tổng quát khi cite số liệu cụ thể từ WBES. Khi nói chung về vấn đề thể chế hoặc chính sách quốc gia, vẫn có thể dùng "tham nhũng" như một tổng thể.</w:t>
      </w:r>
    </w:p>
    <w:p>
      <w:pPr>
        <w:numPr>
          <w:ilvl w:val="0"/>
          <w:numId w:val="1001"/>
        </w:numPr>
        <w:pStyle w:val="Compact"/>
      </w:pPr>
      <w:r>
        <w:rPr>
          <w:bCs/>
          <w:b/>
        </w:rPr>
        <w:t xml:space="preserve">(2) CĐ2 specification</w:t>
      </w:r>
      <w:r>
        <w:t xml:space="preserve"> </w:t>
      </w:r>
      <w:r>
        <w:t xml:space="preserve">sẽ có</w:t>
      </w:r>
      <w:r>
        <w:t xml:space="preserve"> </w:t>
      </w:r>
      <w:r>
        <w:rPr>
          <w:bCs/>
          <w:b/>
        </w:rPr>
        <w:t xml:space="preserve">3 biến phân biệt</w:t>
      </w:r>
      <w:r>
        <w:t xml:space="preserve">:</w:t>
      </w:r>
      <w:r>
        <w:t xml:space="preserve"> </w:t>
      </w:r>
      <w:r>
        <w:rPr>
          <w:rStyle w:val="VerbatimChar"/>
        </w:rPr>
        <w:t xml:space="preserve">bribery_incidence_pct</w:t>
      </w:r>
      <w:r>
        <w:t xml:space="preserve"> </w:t>
      </w:r>
      <w:r>
        <w:t xml:space="preserve">(a-1),</w:t>
      </w:r>
      <w:r>
        <w:t xml:space="preserve"> </w:t>
      </w:r>
      <w:r>
        <w:rPr>
          <w:rStyle w:val="VerbatimChar"/>
        </w:rPr>
        <w:t xml:space="preserve">bribery_depth_pct</w:t>
      </w:r>
      <w:r>
        <w:t xml:space="preserve"> </w:t>
      </w:r>
      <w:r>
        <w:t xml:space="preserve">(a-2),</w:t>
      </w:r>
      <w:r>
        <w:t xml:space="preserve"> </w:t>
      </w:r>
      <w:r>
        <w:rPr>
          <w:rStyle w:val="VerbatimChar"/>
        </w:rPr>
        <w:t xml:space="preserve">graft_index_pct</w:t>
      </w:r>
      <w:r>
        <w:t xml:space="preserve"> </w:t>
      </w:r>
      <w:r>
        <w:t xml:space="preserve">(b-1) từ WBES question j7a-j7f → kiểm tra hệ số khác nhau xuyên 8 phân nhóm con thể chế. Giả thuyết H8 (mới): tác động tham nhũng lên hiệu quả doanh nghiệp khác biệt giữa "extensive corruption" (Bribery Incidence cao, Depth thấp — tham nhũng phổ biến nhưng mỗi giao dịch ít) và "intensive corruption" (Incidence thấp, Depth cao — chỉ một số ít DN nhưng giao dịch nào cũng tham nhũng).</w:t>
      </w:r>
    </w:p>
    <w:p>
      <w:pPr>
        <w:numPr>
          <w:ilvl w:val="0"/>
          <w:numId w:val="1001"/>
        </w:numPr>
        <w:pStyle w:val="Compact"/>
      </w:pPr>
      <w:r>
        <w:rPr>
          <w:bCs/>
          <w:b/>
        </w:rPr>
        <w:t xml:space="preserve">(3) Liên kết với §4.5.5 rào cản #3</w:t>
      </w:r>
      <w:r>
        <w:t xml:space="preserve"> </w:t>
      </w:r>
      <w:r>
        <w:t xml:space="preserve">(cạnh tranh phi chính thức): DN phi chính thức tránh thuế nhưng cũng có thể</w:t>
      </w:r>
      <w:r>
        <w:t xml:space="preserve"> </w:t>
      </w:r>
      <w:r>
        <w:rPr>
          <w:bCs/>
          <w:b/>
        </w:rPr>
        <w:t xml:space="preserve">né tránh hối lộ (bypass bribery)</w:t>
      </w:r>
      <w:r>
        <w:t xml:space="preserve"> </w:t>
      </w:r>
      <w:r>
        <w:t xml:space="preserve">do hoạt động ngoài hệ thống chính thức — tạo ra</w:t>
      </w:r>
      <w:r>
        <w:t xml:space="preserve"> </w:t>
      </w:r>
      <w:r>
        <w:rPr>
          <w:bCs/>
          <w:b/>
        </w:rPr>
        <w:t xml:space="preserve">tình thế tiến thoái lưỡng nan chính sách (policy dilemma)</w:t>
      </w:r>
      <w:r>
        <w:t xml:space="preserve">:</w:t>
      </w:r>
      <w:r>
        <w:t xml:space="preserve"> </w:t>
      </w:r>
      <w:r>
        <w:rPr>
          <w:bCs/>
          <w:b/>
        </w:rPr>
        <w:t xml:space="preserve">chính thức hóa (formalization)</w:t>
      </w:r>
      <w:r>
        <w:t xml:space="preserve"> </w:t>
      </w:r>
      <w:r>
        <w:t xml:space="preserve">có thể tăng</w:t>
      </w:r>
      <w:r>
        <w:t xml:space="preserve"> </w:t>
      </w:r>
      <w:r>
        <w:rPr>
          <w:bCs/>
          <w:b/>
        </w:rPr>
        <w:t xml:space="preserve">mức độ tuân thủ (compliance)</w:t>
      </w:r>
      <w:r>
        <w:t xml:space="preserve"> </w:t>
      </w:r>
      <w:r>
        <w:t xml:space="preserve">nhưng cũng tăng</w:t>
      </w:r>
      <w:r>
        <w:t xml:space="preserve"> </w:t>
      </w:r>
      <w:r>
        <w:rPr>
          <w:bCs/>
          <w:b/>
        </w:rPr>
        <w:t xml:space="preserve">mức phơi nhiễm hối lộ (exposure to bribery)</w:t>
      </w:r>
      <w:r>
        <w:t xml:space="preserve">.</w:t>
      </w:r>
    </w:p>
    <w:p>
      <w:pPr>
        <w:numPr>
          <w:ilvl w:val="0"/>
          <w:numId w:val="1001"/>
        </w:numPr>
        <w:pStyle w:val="Compact"/>
      </w:pPr>
      <w:r>
        <w:rPr>
          <w:bCs/>
          <w:b/>
        </w:rPr>
        <w:t xml:space="preserve">(4) Liên kết với khung phân tích cấp ngành §4.8</w:t>
      </w:r>
      <w:r>
        <w:t xml:space="preserve">: ngành Xây dựng (cường độ hợp đồng cao — high contract intensity) thường có Bribery Depth cao do từng giao dịch công lớn; ngành Khai khoáng/Du lịch (tỷ trọng công ty đa quốc gia — high MNE share) có Bribery Incidence cao nhưng Depth thấp do</w:t>
      </w:r>
      <w:r>
        <w:t xml:space="preserve"> </w:t>
      </w:r>
      <w:r>
        <w:rPr>
          <w:bCs/>
          <w:b/>
        </w:rPr>
        <w:t xml:space="preserve">áp lực tuân thủ MNE (MNE compliance pressure)</w:t>
      </w:r>
      <w:r>
        <w:t xml:space="preserve">.</w:t>
      </w:r>
    </w:p>
    <w:bookmarkEnd w:id="49"/>
    <w:bookmarkEnd w:id="50"/>
    <w:bookmarkStart w:id="51" w:name="X5b86ef82f02a3f57b151c9c771399d7d901d53b"/>
    <w:p>
      <w:pPr>
        <w:pStyle w:val="Heading3"/>
      </w:pPr>
      <w:r>
        <w:t xml:space="preserve">4.8 Khung phân tích cấp ngành (industry-level) — kế hoạch CĐ2</w:t>
      </w:r>
    </w:p>
    <w:p>
      <w:pPr>
        <w:pStyle w:val="BlockText"/>
      </w:pPr>
      <w:r>
        <w:rPr>
          <w:bCs/>
          <w:b/>
        </w:rPr>
        <w:t xml:space="preserve">Mới ở v2.9 (D3)</w:t>
      </w:r>
      <w:r>
        <w:t xml:space="preserve">: Khung dữ liệu (schema) WBES phân loại theo</w:t>
      </w:r>
      <w:r>
        <w:t xml:space="preserve"> </w:t>
      </w:r>
      <w:r>
        <w:rPr>
          <w:rStyle w:val="VerbatimChar"/>
        </w:rPr>
        <w:t xml:space="preserve">a3a</w:t>
      </w:r>
      <w:r>
        <w:t xml:space="preserve"> </w:t>
      </w:r>
      <w:r>
        <w:t xml:space="preserve">(mã ngành) và</w:t>
      </w:r>
      <w:r>
        <w:t xml:space="preserve"> </w:t>
      </w:r>
      <w:r>
        <w:rPr>
          <w:rStyle w:val="VerbatimChar"/>
        </w:rPr>
        <w:t xml:space="preserve">a4a</w:t>
      </w:r>
      <w:r>
        <w:t xml:space="preserve"> </w:t>
      </w:r>
      <w:r>
        <w:t xml:space="preserve">(mã ISIC 4 chữ số).</w:t>
      </w:r>
    </w:p>
    <w:p>
      <w:pPr>
        <w:pStyle w:val="BlockText"/>
      </w:pPr>
      <w:r>
        <w:rPr>
          <w:bCs/>
          <w:b/>
        </w:rPr>
        <w:t xml:space="preserve">Mở rộng v3.4 (07/05/2026)</w:t>
      </w:r>
      <w:r>
        <w:t xml:space="preserve">: Bảng 4.8.1 thêm cột "Dynamism profile (Kafouros 2023)"; thêm đoạn lý giải sau bảng về industry × institutional quality interaction; mở rộng 5 → 6 hàm ý phương pháp luận với hàm ý (f) test interaction term.</w:t>
      </w:r>
    </w:p>
    <w:p>
      <w:pPr>
        <w:pStyle w:val="FirstParagraph"/>
      </w:pPr>
      <w:r>
        <w:rPr>
          <w:bCs/>
          <w:b/>
        </w:rPr>
        <w:t xml:space="preserve">Bảng 4.8.1</w:t>
      </w:r>
      <w:r>
        <w:t xml:space="preserve">.</w:t>
      </w:r>
      <w:r>
        <w:t xml:space="preserve"> </w:t>
      </w:r>
      <w:r>
        <w:rPr>
          <w:iCs/>
          <w:i/>
        </w:rPr>
        <w:t xml:space="preserve">Khung phân loại 9 ngành ISIC Rev. 4 cho nhóm dữ liệu WBES.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Ngành</w:t>
            </w:r>
          </w:p>
        </w:tc>
        <w:tc>
          <w:tcPr/>
          <w:p>
            <w:pPr>
              <w:pStyle w:val="Compact"/>
              <w:jc w:val="left"/>
            </w:pPr>
            <w:r>
              <w:t xml:space="preserve">Mã ISIC</w:t>
            </w:r>
          </w:p>
        </w:tc>
        <w:tc>
          <w:tcPr/>
          <w:p>
            <w:pPr>
              <w:pStyle w:val="Compact"/>
              <w:jc w:val="left"/>
            </w:pPr>
            <w:r>
              <w:t xml:space="preserve">Đặc điểm</w:t>
            </w:r>
          </w:p>
        </w:tc>
        <w:tc>
          <w:tcPr/>
          <w:p>
            <w:pPr>
              <w:pStyle w:val="Compact"/>
              <w:jc w:val="left"/>
            </w:pPr>
            <w:r>
              <w:t xml:space="preserve">Pattern dự kiến</w:t>
            </w:r>
          </w:p>
        </w:tc>
        <w:tc>
          <w:tcPr/>
          <w:p>
            <w:pPr>
              <w:pStyle w:val="Compact"/>
              <w:jc w:val="left"/>
            </w:pPr>
            <w:r>
              <w:rPr>
                <w:bCs/>
                <w:b/>
              </w:rPr>
              <w:t xml:space="preserve">Dynamism profile (Kafouros 2023)</w:t>
            </w:r>
          </w:p>
        </w:tc>
      </w:tr>
      <w:tr>
        <w:tc>
          <w:tcPr/>
          <w:p>
            <w:pPr>
              <w:pStyle w:val="Compact"/>
              <w:jc w:val="left"/>
            </w:pPr>
            <w:r>
              <w:t xml:space="preserve">Manufacturing — high-tech</w:t>
            </w:r>
          </w:p>
        </w:tc>
        <w:tc>
          <w:tcPr/>
          <w:p>
            <w:pPr>
              <w:pStyle w:val="Compact"/>
              <w:jc w:val="left"/>
            </w:pPr>
            <w:r>
              <w:t xml:space="preserve">C (20–21, 26–30)</w:t>
            </w:r>
            <w:r>
              <w:t xml:space="preserve"> </w:t>
            </w:r>
            <w:r>
              <w:rPr>
                <w:iCs/>
                <w:i/>
              </w:rPr>
              <w:t xml:space="preserve">(pharma, computers, electrical, motor vehicles)</w:t>
            </w:r>
          </w:p>
        </w:tc>
        <w:tc>
          <w:tcPr/>
          <w:p>
            <w:pPr>
              <w:pStyle w:val="Compact"/>
              <w:jc w:val="left"/>
            </w:pPr>
            <w:r>
              <w:t xml:space="preserve">Thâm dụng vốn, định hướng xuất khẩu</w:t>
            </w:r>
          </w:p>
        </w:tc>
        <w:tc>
          <w:tcPr/>
          <w:p>
            <w:pPr>
              <w:pStyle w:val="Compact"/>
              <w:jc w:val="left"/>
            </w:pPr>
            <w:r>
              <w:t xml:space="preserve">FSTS cao; R&amp;D cao; ISO cao</w:t>
            </w:r>
          </w:p>
        </w:tc>
        <w:tc>
          <w:tcPr/>
          <w:p>
            <w:pPr>
              <w:pStyle w:val="Compact"/>
              <w:jc w:val="left"/>
            </w:pPr>
            <w:r>
              <w:rPr>
                <w:bCs/>
                <w:b/>
              </w:rPr>
              <w:t xml:space="preserve">High technological dynamism</w:t>
            </w:r>
            <w:r>
              <w:t xml:space="preserve"> </w:t>
            </w:r>
            <w:r>
              <w:rPr>
                <w:iCs/>
                <w:i/>
              </w:rPr>
              <w:t xml:space="preserve">(Schumpeter Mark II — deepening pattern)</w:t>
            </w:r>
          </w:p>
        </w:tc>
      </w:tr>
      <w:tr>
        <w:tc>
          <w:tcPr/>
          <w:p>
            <w:pPr>
              <w:pStyle w:val="Compact"/>
              <w:jc w:val="left"/>
            </w:pPr>
            <w:r>
              <w:t xml:space="preserve">Manufacturing — low-tech</w:t>
            </w:r>
          </w:p>
        </w:tc>
        <w:tc>
          <w:tcPr/>
          <w:p>
            <w:pPr>
              <w:pStyle w:val="Compact"/>
              <w:jc w:val="left"/>
            </w:pPr>
            <w:r>
              <w:t xml:space="preserve">C (10–18, 22–25, 31–33)</w:t>
            </w:r>
            <w:r>
              <w:t xml:space="preserve"> </w:t>
            </w:r>
            <w:r>
              <w:rPr>
                <w:iCs/>
                <w:i/>
              </w:rPr>
              <w:t xml:space="preserve">(food, beverages, textiles, leather, furniture, basic metals)</w:t>
            </w:r>
          </w:p>
        </w:tc>
        <w:tc>
          <w:tcPr/>
          <w:p>
            <w:pPr>
              <w:pStyle w:val="Compact"/>
              <w:jc w:val="left"/>
            </w:pPr>
            <w:r>
              <w:t xml:space="preserve">Thâm dụng lao động</w:t>
            </w:r>
          </w:p>
        </w:tc>
        <w:tc>
          <w:tcPr/>
          <w:p>
            <w:pPr>
              <w:pStyle w:val="Compact"/>
              <w:jc w:val="left"/>
            </w:pPr>
            <w:r>
              <w:t xml:space="preserve">FSTS trung bình; R&amp;D thấp</w:t>
            </w:r>
          </w:p>
        </w:tc>
        <w:tc>
          <w:tcPr/>
          <w:p>
            <w:pPr>
              <w:pStyle w:val="Compact"/>
              <w:jc w:val="left"/>
            </w:pPr>
            <w:r>
              <w:rPr>
                <w:bCs/>
                <w:b/>
              </w:rPr>
              <w:t xml:space="preserve">Low technological dynamism</w:t>
            </w:r>
            <w:r>
              <w:t xml:space="preserve"> </w:t>
            </w:r>
            <w:r>
              <w:rPr>
                <w:iCs/>
                <w:i/>
              </w:rPr>
              <w:t xml:space="preserve">(widening pattern; longer technology life cycle)</w:t>
            </w:r>
          </w:p>
        </w:tc>
      </w:tr>
      <w:tr>
        <w:tc>
          <w:tcPr/>
          <w:p>
            <w:pPr>
              <w:pStyle w:val="Compact"/>
              <w:jc w:val="left"/>
            </w:pPr>
            <w:r>
              <w:t xml:space="preserve">Wholesale/retail</w:t>
            </w:r>
          </w:p>
        </w:tc>
        <w:tc>
          <w:tcPr/>
          <w:p>
            <w:pPr>
              <w:pStyle w:val="Compact"/>
              <w:jc w:val="left"/>
            </w:pPr>
            <w:r>
              <w:t xml:space="preserve">G (45–47)</w:t>
            </w:r>
          </w:p>
        </w:tc>
        <w:tc>
          <w:tcPr/>
          <w:p>
            <w:pPr>
              <w:pStyle w:val="Compact"/>
              <w:jc w:val="left"/>
            </w:pPr>
            <w:r>
              <w:t xml:space="preserve">Thâm dụng lao động, định hướng trong nước</w:t>
            </w:r>
          </w:p>
        </w:tc>
        <w:tc>
          <w:tcPr/>
          <w:p>
            <w:pPr>
              <w:pStyle w:val="Compact"/>
              <w:jc w:val="left"/>
            </w:pPr>
            <w:r>
              <w:t xml:space="preserve">FSTS thấp; website cao; FDI thấp</w:t>
            </w:r>
          </w:p>
        </w:tc>
        <w:tc>
          <w:tcPr/>
          <w:p>
            <w:pPr>
              <w:pStyle w:val="Compact"/>
              <w:jc w:val="left"/>
            </w:pPr>
            <w:r>
              <w:rPr>
                <w:bCs/>
                <w:b/>
              </w:rPr>
              <w:t xml:space="preserve">High market dynamism</w:t>
            </w:r>
            <w:r>
              <w:t xml:space="preserve"> </w:t>
            </w:r>
            <w:r>
              <w:rPr>
                <w:iCs/>
                <w:i/>
              </w:rPr>
              <w:t xml:space="preserve">(volatile consumer demand, short product cycles)</w:t>
            </w:r>
          </w:p>
        </w:tc>
      </w:tr>
      <w:tr>
        <w:tc>
          <w:tcPr/>
          <w:p>
            <w:pPr>
              <w:pStyle w:val="Compact"/>
              <w:jc w:val="left"/>
            </w:pPr>
            <w:r>
              <w:t xml:space="preserve">Tourism/hotels</w:t>
            </w:r>
          </w:p>
        </w:tc>
        <w:tc>
          <w:tcPr/>
          <w:p>
            <w:pPr>
              <w:pStyle w:val="Compact"/>
              <w:jc w:val="left"/>
            </w:pPr>
            <w:r>
              <w:t xml:space="preserve">I (55–56)</w:t>
            </w:r>
          </w:p>
        </w:tc>
        <w:tc>
          <w:tcPr/>
          <w:p>
            <w:pPr>
              <w:pStyle w:val="Compact"/>
              <w:jc w:val="left"/>
            </w:pPr>
            <w:r>
              <w:t xml:space="preserve">Dịch vụ phụ thuộc du lịch</w:t>
            </w:r>
          </w:p>
        </w:tc>
        <w:tc>
          <w:tcPr/>
          <w:p>
            <w:pPr>
              <w:pStyle w:val="Compact"/>
              <w:jc w:val="left"/>
            </w:pPr>
            <w:r>
              <w:t xml:space="preserve">FDI cao ở SIDS</w:t>
            </w:r>
          </w:p>
        </w:tc>
        <w:tc>
          <w:tcPr/>
          <w:p>
            <w:pPr>
              <w:pStyle w:val="Compact"/>
              <w:jc w:val="left"/>
            </w:pPr>
            <w:r>
              <w:rPr>
                <w:bCs/>
                <w:b/>
              </w:rPr>
              <w:t xml:space="preserve">High market dynamism</w:t>
            </w:r>
            <w:r>
              <w:t xml:space="preserve"> </w:t>
            </w:r>
            <w:r>
              <w:rPr>
                <w:iCs/>
                <w:i/>
              </w:rPr>
              <w:t xml:space="preserve">(volatile demand — pandemic, geopolitical, seasonal)</w:t>
            </w:r>
          </w:p>
        </w:tc>
      </w:tr>
      <w:tr>
        <w:tc>
          <w:tcPr/>
          <w:p>
            <w:pPr>
              <w:pStyle w:val="Compact"/>
              <w:jc w:val="left"/>
            </w:pPr>
            <w:r>
              <w:t xml:space="preserve">Transport</w:t>
            </w:r>
          </w:p>
        </w:tc>
        <w:tc>
          <w:tcPr/>
          <w:p>
            <w:pPr>
              <w:pStyle w:val="Compact"/>
              <w:jc w:val="left"/>
            </w:pPr>
            <w:r>
              <w:t xml:space="preserve">H (49–53)</w:t>
            </w:r>
          </w:p>
        </w:tc>
        <w:tc>
          <w:tcPr/>
          <w:p>
            <w:pPr>
              <w:pStyle w:val="Compact"/>
              <w:jc w:val="left"/>
            </w:pPr>
            <w:r>
              <w:t xml:space="preserve">Kinh tế mạng lưới</w:t>
            </w:r>
          </w:p>
        </w:tc>
        <w:tc>
          <w:tcPr/>
          <w:p>
            <w:pPr>
              <w:pStyle w:val="Compact"/>
              <w:jc w:val="left"/>
            </w:pPr>
            <w:r>
              <w:t xml:space="preserve">FDI cao; ISO cao</w:t>
            </w:r>
          </w:p>
        </w:tc>
        <w:tc>
          <w:tcPr/>
          <w:p>
            <w:pPr>
              <w:pStyle w:val="Compact"/>
              <w:jc w:val="left"/>
            </w:pPr>
            <w:r>
              <w:t xml:space="preserve">Trung gian (low-medium dynamism)</w:t>
            </w:r>
          </w:p>
        </w:tc>
      </w:tr>
      <w:tr>
        <w:tc>
          <w:tcPr/>
          <w:p>
            <w:pPr>
              <w:pStyle w:val="Compact"/>
              <w:jc w:val="left"/>
            </w:pPr>
            <w:r>
              <w:t xml:space="preserve">ICT</w:t>
            </w:r>
          </w:p>
        </w:tc>
        <w:tc>
          <w:tcPr/>
          <w:p>
            <w:pPr>
              <w:pStyle w:val="Compact"/>
              <w:jc w:val="left"/>
            </w:pPr>
            <w:r>
              <w:t xml:space="preserve">J (58–63)</w:t>
            </w:r>
          </w:p>
        </w:tc>
        <w:tc>
          <w:tcPr/>
          <w:p>
            <w:pPr>
              <w:pStyle w:val="Compact"/>
              <w:jc w:val="left"/>
            </w:pPr>
            <w:r>
              <w:t xml:space="preserve">Thâm dụng tri thức</w:t>
            </w:r>
          </w:p>
        </w:tc>
        <w:tc>
          <w:tcPr/>
          <w:p>
            <w:pPr>
              <w:pStyle w:val="Compact"/>
              <w:jc w:val="left"/>
            </w:pPr>
            <w:r>
              <w:t xml:space="preserve">R&amp;D cao; website ~100%</w:t>
            </w:r>
          </w:p>
        </w:tc>
        <w:tc>
          <w:tcPr/>
          <w:p>
            <w:pPr>
              <w:pStyle w:val="Compact"/>
              <w:jc w:val="left"/>
            </w:pPr>
            <w:r>
              <w:rPr>
                <w:bCs/>
                <w:b/>
              </w:rPr>
              <w:t xml:space="preserve">High technological dynamism</w:t>
            </w:r>
            <w:r>
              <w:t xml:space="preserve"> </w:t>
            </w:r>
            <w:r>
              <w:rPr>
                <w:iCs/>
                <w:i/>
              </w:rPr>
              <w:t xml:space="preserve">(rapid tech evolution, IPR-sensitive)</w:t>
            </w:r>
          </w:p>
        </w:tc>
      </w:tr>
      <w:tr>
        <w:tc>
          <w:tcPr/>
          <w:p>
            <w:pPr>
              <w:pStyle w:val="Compact"/>
              <w:jc w:val="left"/>
            </w:pPr>
            <w:r>
              <w:t xml:space="preserve">Construction</w:t>
            </w:r>
          </w:p>
        </w:tc>
        <w:tc>
          <w:tcPr/>
          <w:p>
            <w:pPr>
              <w:pStyle w:val="Compact"/>
              <w:jc w:val="left"/>
            </w:pPr>
            <w:r>
              <w:t xml:space="preserve">F (41–43)</w:t>
            </w:r>
          </w:p>
        </w:tc>
        <w:tc>
          <w:tcPr/>
          <w:p>
            <w:pPr>
              <w:pStyle w:val="Compact"/>
              <w:jc w:val="left"/>
            </w:pPr>
            <w:r>
              <w:t xml:space="preserve">Theo dự án, định hướng trong nước</w:t>
            </w:r>
          </w:p>
        </w:tc>
        <w:tc>
          <w:tcPr/>
          <w:p>
            <w:pPr>
              <w:pStyle w:val="Compact"/>
              <w:jc w:val="left"/>
            </w:pPr>
            <w:r>
              <w:t xml:space="preserve">FSTS thấp; FDI ở GCC</w:t>
            </w:r>
          </w:p>
        </w:tc>
        <w:tc>
          <w:tcPr/>
          <w:p>
            <w:pPr>
              <w:pStyle w:val="Compact"/>
              <w:jc w:val="left"/>
            </w:pPr>
            <w:r>
              <w:rPr>
                <w:bCs/>
                <w:b/>
              </w:rPr>
              <w:t xml:space="preserve">Low technological dynamism + low market dynamism</w:t>
            </w:r>
            <w:r>
              <w:t xml:space="preserve"> </w:t>
            </w:r>
            <w:r>
              <w:rPr>
                <w:iCs/>
                <w:i/>
              </w:rPr>
              <w:t xml:space="preserve">(stable demand, traditional methods)</w:t>
            </w:r>
          </w:p>
        </w:tc>
      </w:tr>
      <w:tr>
        <w:tc>
          <w:tcPr/>
          <w:p>
            <w:pPr>
              <w:pStyle w:val="Compact"/>
              <w:jc w:val="left"/>
            </w:pPr>
            <w:r>
              <w:t xml:space="preserve">Mining</w:t>
            </w:r>
          </w:p>
        </w:tc>
        <w:tc>
          <w:tcPr/>
          <w:p>
            <w:pPr>
              <w:pStyle w:val="Compact"/>
              <w:jc w:val="left"/>
            </w:pPr>
            <w:r>
              <w:t xml:space="preserve">B (05–09)</w:t>
            </w:r>
          </w:p>
        </w:tc>
        <w:tc>
          <w:tcPr/>
          <w:p>
            <w:pPr>
              <w:pStyle w:val="Compact"/>
              <w:jc w:val="left"/>
            </w:pPr>
            <w:r>
              <w:t xml:space="preserve">Tài nguyên dẫn dắt</w:t>
            </w:r>
          </w:p>
        </w:tc>
        <w:tc>
          <w:tcPr/>
          <w:p>
            <w:pPr>
              <w:pStyle w:val="Compact"/>
              <w:jc w:val="left"/>
            </w:pPr>
            <w:r>
              <w:t xml:space="preserve">FDI cao; ISO ở MNE-led</w:t>
            </w:r>
          </w:p>
        </w:tc>
        <w:tc>
          <w:tcPr/>
          <w:p>
            <w:pPr>
              <w:pStyle w:val="Compact"/>
              <w:jc w:val="left"/>
            </w:pPr>
            <w:r>
              <w:rPr>
                <w:bCs/>
                <w:b/>
              </w:rPr>
              <w:t xml:space="preserve">Low technological dynamism</w:t>
            </w:r>
            <w:r>
              <w:t xml:space="preserve"> </w:t>
            </w:r>
            <w:r>
              <w:rPr>
                <w:iCs/>
                <w:i/>
              </w:rPr>
              <w:t xml:space="preserve">(commodity-driven, institutional rents)</w:t>
            </w:r>
          </w:p>
        </w:tc>
      </w:tr>
      <w:tr>
        <w:tc>
          <w:tcPr/>
          <w:p>
            <w:pPr>
              <w:pStyle w:val="Compact"/>
              <w:jc w:val="left"/>
            </w:pPr>
            <w:r>
              <w:t xml:space="preserve">Finance</w:t>
            </w:r>
          </w:p>
        </w:tc>
        <w:tc>
          <w:tcPr/>
          <w:p>
            <w:pPr>
              <w:pStyle w:val="Compact"/>
              <w:jc w:val="left"/>
            </w:pPr>
            <w:r>
              <w:t xml:space="preserve">K (64–66)</w:t>
            </w:r>
          </w:p>
        </w:tc>
        <w:tc>
          <w:tcPr/>
          <w:p>
            <w:pPr>
              <w:pStyle w:val="Compact"/>
              <w:jc w:val="left"/>
            </w:pPr>
            <w:r>
              <w:t xml:space="preserve">Có quy chế, xuyên biên giới</w:t>
            </w:r>
          </w:p>
        </w:tc>
        <w:tc>
          <w:tcPr/>
          <w:p>
            <w:pPr>
              <w:pStyle w:val="Compact"/>
              <w:jc w:val="left"/>
            </w:pPr>
            <w:r>
              <w:t xml:space="preserve">FDI cao; website ~100%</w:t>
            </w:r>
          </w:p>
        </w:tc>
        <w:tc>
          <w:tcPr/>
          <w:p>
            <w:pPr>
              <w:pStyle w:val="Compact"/>
              <w:jc w:val="left"/>
            </w:pPr>
            <w:r>
              <w:rPr>
                <w:bCs/>
                <w:b/>
              </w:rPr>
              <w:t xml:space="preserve">High market dynamism</w:t>
            </w:r>
            <w:r>
              <w:t xml:space="preserve"> </w:t>
            </w:r>
            <w:r>
              <w:rPr>
                <w:iCs/>
                <w:i/>
              </w:rPr>
              <w:t xml:space="preserve">(demand shocks, AI disruption Wang/Huang/Hong 2024)</w:t>
            </w:r>
          </w:p>
        </w:tc>
      </w:tr>
      <w:tr>
        <w:tc>
          <w:tcPr/>
          <w:p>
            <w:pPr>
              <w:pStyle w:val="Compact"/>
              <w:jc w:val="left"/>
            </w:pPr>
            <w:r>
              <w:t xml:space="preserve">Khác</w:t>
            </w:r>
          </w:p>
        </w:tc>
        <w:tc>
          <w:tcPr/>
          <w:p>
            <w:pPr>
              <w:pStyle w:val="Compact"/>
              <w:jc w:val="left"/>
            </w:pPr>
            <w:r>
              <w:t xml:space="preserve">A, D, L</w:t>
            </w:r>
          </w:p>
        </w:tc>
        <w:tc>
          <w:tcPr/>
          <w:p>
            <w:pPr>
              <w:pStyle w:val="Compact"/>
              <w:jc w:val="left"/>
            </w:pPr>
            <w:r>
              <w:t xml:space="preserve">Đa dạng</w:t>
            </w:r>
          </w:p>
        </w:tc>
        <w:tc>
          <w:tcPr/>
          <w:p>
            <w:pPr>
              <w:pStyle w:val="Compact"/>
              <w:jc w:val="left"/>
            </w:pPr>
            <w:r>
              <w:t xml:space="preserve">Hỗn hợp</w:t>
            </w:r>
          </w:p>
        </w:tc>
        <w:tc>
          <w:tcPr/>
          <w:p>
            <w:pPr>
              <w:pStyle w:val="Compact"/>
              <w:jc w:val="left"/>
            </w:pPr>
            <w:r>
              <w:t xml:space="preserve">Hỗn hợp</w:t>
            </w:r>
          </w:p>
        </w:tc>
      </w:tr>
    </w:tbl>
    <w:p>
      <w:pPr>
        <w:pStyle w:val="BodyText"/>
      </w:pPr>
      <w:r>
        <w:rPr>
          <w:bCs/>
          <w:b/>
        </w:rPr>
        <w:t xml:space="preserve">5 giả thuyết cấp ngành cho CĐ2</w:t>
      </w:r>
      <w:r>
        <w:t xml:space="preserve">: I1 Manufacturing FSTS dominance; I2 ICT digital-native; I3 Tourism drive FDI ở SIDS; I4 Mining drive resource cluster; I5 Construction dominate Vùng Vịnh.</w:t>
      </w:r>
    </w:p>
    <w:p>
      <w:pPr>
        <w:pStyle w:val="BodyText"/>
      </w:pPr>
      <w:r>
        <w:rPr>
          <w:bCs/>
          <w:b/>
        </w:rPr>
        <w:t xml:space="preserve">Lý giải lý thuyết — Kafouros et al. (2023) industry × institutional quality interaction</w:t>
      </w:r>
      <w:r>
        <w:t xml:space="preserve">:</w:t>
      </w:r>
    </w:p>
    <w:p>
      <w:pPr>
        <w:pStyle w:val="BodyText"/>
      </w:pPr>
      <w:r>
        <w:t xml:space="preserve">Khung 9 ngành trên không chỉ phân loại theo logic kinh tế mà còn theo logic lý thuyết của</w:t>
      </w:r>
      <w:r>
        <w:t xml:space="preserve"> </w:t>
      </w:r>
      <w:r>
        <w:rPr>
          <w:bCs/>
          <w:b/>
        </w:rPr>
        <w:t xml:space="preserve">Kafouros et al. (2023 —</w:t>
      </w:r>
      <w:r>
        <w:rPr>
          <w:bCs/>
          <w:b/>
        </w:rPr>
        <w:t xml:space="preserve"> </w:t>
      </w:r>
      <w:r>
        <w:rPr>
          <w:iCs/>
          <w:i/>
          <w:bCs/>
          <w:b/>
        </w:rPr>
        <w:t xml:space="preserve">Global Strategy Journal</w:t>
      </w:r>
      <w:r>
        <w:rPr>
          <w:bCs/>
          <w:b/>
        </w:rPr>
        <w:t xml:space="preserve">, Vol 14, 56–83)</w:t>
      </w:r>
      <w:r>
        <w:t xml:space="preserve">. Kafouros và cộng sự (n=12.888 firms · 16 CEE economies · 2004-2011 · 72.082 obs) chứng minh chất lượng thể chế (đo bằng Rule of Law từ World Governance Indicators) tương tác hai chiều với động học ngành:</w:t>
      </w:r>
      <w:r>
        <w:t xml:space="preserve"> </w:t>
      </w:r>
      <w:r>
        <w:rPr>
          <w:bCs/>
          <w:b/>
        </w:rPr>
        <w:t xml:space="preserve">(H1)</w:t>
      </w:r>
      <w:r>
        <w:t xml:space="preserve"> </w:t>
      </w:r>
      <w:r>
        <w:t xml:space="preserve">ở các ngành có</w:t>
      </w:r>
      <w:r>
        <w:t xml:space="preserve"> </w:t>
      </w:r>
      <w:r>
        <w:rPr>
          <w:bCs/>
          <w:b/>
        </w:rPr>
        <w:t xml:space="preserve">technological dynamism</w:t>
      </w:r>
      <w:r>
        <w:t xml:space="preserve"> </w:t>
      </w:r>
      <w:r>
        <w:t xml:space="preserve">cao (Schumpeter Mark II — pharma, computers, electrical, ICT, motor vehicles), chất lượng thể chế</w:t>
      </w:r>
      <w:r>
        <w:t xml:space="preserve"> </w:t>
      </w:r>
      <w:r>
        <w:rPr>
          <w:bCs/>
          <w:b/>
        </w:rPr>
        <w:t xml:space="preserve">khuếch đại tích cực</w:t>
      </w:r>
      <w:r>
        <w:t xml:space="preserve"> </w:t>
      </w:r>
      <w:r>
        <w:t xml:space="preserve">hiệu quả doanh nghiệp do ba cơ chế (partnership identification, IPR enforcement, interfirm market exchange);</w:t>
      </w:r>
      <w:r>
        <w:t xml:space="preserve"> </w:t>
      </w:r>
      <w:r>
        <w:rPr>
          <w:bCs/>
          <w:b/>
        </w:rPr>
        <w:t xml:space="preserve">(H2)</w:t>
      </w:r>
      <w:r>
        <w:t xml:space="preserve"> </w:t>
      </w:r>
      <w:r>
        <w:t xml:space="preserve">ngược lại, ở các ngành có</w:t>
      </w:r>
      <w:r>
        <w:t xml:space="preserve"> </w:t>
      </w:r>
      <w:r>
        <w:rPr>
          <w:bCs/>
          <w:b/>
        </w:rPr>
        <w:t xml:space="preserve">market dynamism</w:t>
      </w:r>
      <w:r>
        <w:t xml:space="preserve"> </w:t>
      </w:r>
      <w:r>
        <w:t xml:space="preserve">cao (volatility cầu — tourism, retail, finance), chất lượng thể chế</w:t>
      </w:r>
      <w:r>
        <w:t xml:space="preserve"> </w:t>
      </w:r>
      <w:r>
        <w:rPr>
          <w:bCs/>
          <w:b/>
        </w:rPr>
        <w:t xml:space="preserve">suy yếu</w:t>
      </w:r>
      <w:r>
        <w:t xml:space="preserve"> </w:t>
      </w:r>
      <w:r>
        <w:t xml:space="preserve">vì doanh nghiệp phải nội bộ hóa (internalize) các chức năng để giảm phụ thuộc thị trường ngoài.</w:t>
      </w:r>
      <w:r>
        <w:t xml:space="preserve"> </w:t>
      </w:r>
      <w:r>
        <w:rPr>
          <w:bCs/>
          <w:b/>
        </w:rPr>
        <w:t xml:space="preserve">Hàm ý cho CĐ1 và CĐ2</w:t>
      </w:r>
      <w:r>
        <w:t xml:space="preserve">: (a) hệ số âm DAI ở Advanced phân nhóm innovation-driven (-0,129 trong Spec 1 — xem §4.4 và Phase 2 NotebookLM HĐ1) có thể bị nhiễu bởi ICT firms saturated; (b) Bảng 4.6 cho thấy Δ R&amp;D Emerging giảm -42,1 đpt — nếu phân tách high-tech vs low-tech Manufacturing, có thể thấy pattern khác biệt; (c)</w:t>
      </w:r>
      <w:r>
        <w:t xml:space="preserve"> </w:t>
      </w:r>
      <w:r>
        <w:rPr>
          <w:bCs/>
          <w:b/>
        </w:rPr>
        <w:t xml:space="preserve">CĐ2 cần thêm giả thuyết H7</w:t>
      </w:r>
      <w:r>
        <w:t xml:space="preserve">: tương tác</w:t>
      </w:r>
      <w:r>
        <w:t xml:space="preserve"> </w:t>
      </w:r>
      <w:r>
        <w:rPr>
          <w:rStyle w:val="VerbatimChar"/>
        </w:rPr>
        <w:t xml:space="preserve">tech_dynamism × institutional_quality</w:t>
      </w:r>
      <w:r>
        <w:t xml:space="preserve"> </w:t>
      </w:r>
      <w:r>
        <w:t xml:space="preserve">có hệ số dương; tương tác</w:t>
      </w:r>
      <w:r>
        <w:t xml:space="preserve"> </w:t>
      </w:r>
      <w:r>
        <w:rPr>
          <w:rStyle w:val="VerbatimChar"/>
        </w:rPr>
        <w:t xml:space="preserve">market_dynamism × institutional_quality</w:t>
      </w:r>
      <w:r>
        <w:t xml:space="preserve"> </w:t>
      </w:r>
      <w:r>
        <w:t xml:space="preserve">có hệ số âm. Đây là test trực tiếp cho replication của Kafouros (2023) trong bối cảnh châu Á — đóng góp lý thuyết quan trọng vì Kafouros chỉ test trong bối cảnh CEE.</w:t>
      </w:r>
    </w:p>
    <w:p>
      <w:pPr>
        <w:pStyle w:val="BodyText"/>
      </w:pPr>
      <w:r>
        <w:rPr>
          <w:bCs/>
          <w:b/>
        </w:rPr>
        <w:t xml:space="preserve">6 hàm ý phương pháp luận</w:t>
      </w:r>
      <w:r>
        <w:t xml:space="preserve"> </w:t>
      </w:r>
      <w:r>
        <w:rPr>
          <w:iCs/>
          <w:i/>
        </w:rPr>
        <w:t xml:space="preserve">)</w:t>
      </w:r>
      <w:r>
        <w:t xml:space="preserve">:</w:t>
      </w:r>
    </w:p>
    <w:p>
      <w:pPr>
        <w:pStyle w:val="BodyText"/>
      </w:pPr>
      <w:r>
        <w:t xml:space="preserve">(a) Industry FE 9 ngành theo Bảng 4.8.1.</w:t>
      </w:r>
      <w:r>
        <w:t xml:space="preserve"> </w:t>
      </w:r>
      <w:r>
        <w:t xml:space="preserve">(b) Manufacturing-only subsample — tách cho high-tech vs low-tech theo Kafouros (2023) classification.</w:t>
      </w:r>
      <w:r>
        <w:t xml:space="preserve"> </w:t>
      </w:r>
      <w:r>
        <w:t xml:space="preserve">(c) Tourism separation cho SIDS Pacific (boundary case extension §1.3).</w:t>
      </w:r>
      <w:r>
        <w:t xml:space="preserve"> </w:t>
      </w:r>
      <w:r>
        <w:t xml:space="preserve">(d) Construction subsample test Vùng Vịnh resource-driven Advanced.</w:t>
      </w:r>
      <w:r>
        <w:t xml:space="preserve"> </w:t>
      </w:r>
      <w:r>
        <w:t xml:space="preserve">(e) ICT exclusion test cho DAI — đặc biệt liên quan Phase 2 NotebookLM HĐ1 Tier-1 Digital Presence rebrand.</w:t>
      </w:r>
      <w:r>
        <w:t xml:space="preserve"> </w:t>
      </w:r>
      <w:r>
        <w:rPr>
          <w:bCs/>
          <w:b/>
        </w:rPr>
        <w:t xml:space="preserve">(f) Test interaction term</w:t>
      </w:r>
      <w:r>
        <w:rPr>
          <w:bCs/>
          <w:b/>
        </w:rPr>
        <w:t xml:space="preserve"> </w:t>
      </w:r>
      <w:r>
        <w:rPr>
          <w:rStyle w:val="VerbatimChar"/>
          <w:bCs/>
          <w:b/>
        </w:rPr>
        <w:t xml:space="preserve">tech_dynamism × institutional_quality</w:t>
      </w:r>
      <w:r>
        <w:rPr>
          <w:bCs/>
          <w:b/>
        </w:rPr>
        <w:t xml:space="preserve"> </w:t>
      </w:r>
      <w:r>
        <w:rPr>
          <w:bCs/>
          <w:b/>
        </w:rPr>
        <w:t xml:space="preserve">và</w:t>
      </w:r>
      <w:r>
        <w:rPr>
          <w:bCs/>
          <w:b/>
        </w:rPr>
        <w:t xml:space="preserve"> </w:t>
      </w:r>
      <w:r>
        <w:rPr>
          <w:rStyle w:val="VerbatimChar"/>
          <w:bCs/>
          <w:b/>
        </w:rPr>
        <w:t xml:space="preserve">market_dynamism × institutional_quality</w:t>
      </w:r>
      <w:r>
        <w:t xml:space="preserve"> </w:t>
      </w:r>
      <w:r>
        <w:t xml:space="preserve">— robustness check thứ 7 cho CĐ2 H7 mới (sau Manufacturing-only, ICT-excluded, Tourism-separated SIDS, Construction-tested Gulf, Mining-excluded resource, Anchor model BREADY 2025). Đây là test trực tiếp cho</w:t>
      </w:r>
      <w:r>
        <w:t xml:space="preserve"> </w:t>
      </w:r>
      <w:r>
        <w:rPr>
          <w:bCs/>
          <w:b/>
        </w:rPr>
        <w:t xml:space="preserve">replication Kafouros et al. (2023) trong bối cảnh châu Á</w:t>
      </w:r>
      <w:r>
        <w:t xml:space="preserve"> </w:t>
      </w:r>
      <w:r>
        <w:t xml:space="preserve">— bảng Industry × Institutional Quality interaction cần thiết để confirm/disconfirm H1-H2 của Kafouros với 41 nước châu Á (vs 16 nước CEE của Kafouros). Nếu interaction tech_dynamism × institutional_quality dương và significant ở mức p&lt;.05, đây là evidence châu Á-specific cho industry-bounded institutional advantage — đóng góp lý thuyết của luận án.</w:t>
      </w:r>
    </w:p>
    <w:bookmarkEnd w:id="51"/>
    <w:bookmarkStart w:id="52" w:name="X71a74cdd34152b5a74aff8a8052f8472d9562d0"/>
    <w:p>
      <w:pPr>
        <w:pStyle w:val="Heading3"/>
      </w:pPr>
      <w:r>
        <w:t xml:space="preserve">4.9 Phân nhóm con Emerging — phát hiện dị biệt nội bộ</w:t>
      </w:r>
    </w:p>
    <w:p>
      <w:pPr>
        <w:pStyle w:val="BlockText"/>
      </w:pPr>
      <w:r>
        <w:rPr>
          <w:bCs/>
          <w:b/>
        </w:rPr>
        <w:t xml:space="preserve">Mới ở v2.7 (D1)</w:t>
      </w:r>
      <w:r>
        <w:t xml:space="preserve">: Phát hiện phương pháp luận thứ hai cho CĐ2.</w:t>
      </w:r>
    </w:p>
    <w:p>
      <w:pPr>
        <w:pStyle w:val="FirstParagraph"/>
      </w:pPr>
      <w:r>
        <w:rPr>
          <w:bCs/>
          <w:b/>
        </w:rPr>
        <w:t xml:space="preserve">Bảng 4.9</w:t>
      </w:r>
      <w:r>
        <w:t xml:space="preserve">.</w:t>
      </w:r>
      <w:r>
        <w:t xml:space="preserve"> </w:t>
      </w:r>
      <w:r>
        <w:rPr>
          <w:iCs/>
          <w:i/>
        </w:rPr>
        <w:t xml:space="preserve">Phân nhóm con Emerging — số liệu tổng hợp 2009–2025 (n=47.803).</w:t>
      </w:r>
    </w:p>
    <w:tbl>
      <w:tblPr>
        <w:tblStyle w:val="Table"/>
        <w:tblW w:type="auto" w:w="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Phân nhóm con</w:t>
            </w:r>
          </w:p>
        </w:tc>
        <w:tc>
          <w:tcPr/>
          <w:p>
            <w:pPr>
              <w:pStyle w:val="Compact"/>
              <w:jc w:val="left"/>
            </w:pPr>
            <w:r>
              <w:t xml:space="preserve">Quốc gia</w:t>
            </w:r>
          </w:p>
        </w:tc>
        <w:tc>
          <w:tcPr/>
          <w:p>
            <w:pPr>
              <w:pStyle w:val="Compact"/>
              <w:jc w:val="left"/>
            </w:pPr>
            <w:r>
              <w:t xml:space="preserve">n_firms</w:t>
            </w:r>
          </w:p>
        </w:tc>
        <w:tc>
          <w:tcPr/>
          <w:p>
            <w:pPr>
              <w:pStyle w:val="Compact"/>
              <w:jc w:val="left"/>
            </w:pPr>
            <w:r>
              <w:t xml:space="preserve">FSTS (%)</w:t>
            </w:r>
          </w:p>
        </w:tc>
        <w:tc>
          <w:tcPr/>
          <w:p>
            <w:pPr>
              <w:pStyle w:val="Compact"/>
              <w:jc w:val="left"/>
            </w:pPr>
            <w:r>
              <w:t xml:space="preserve">DN xuất khẩu (%)</w:t>
            </w:r>
          </w:p>
        </w:tc>
        <w:tc>
          <w:tcPr/>
          <w:p>
            <w:pPr>
              <w:pStyle w:val="Compact"/>
              <w:jc w:val="left"/>
            </w:pPr>
            <w:r>
              <w:t xml:space="preserve">FDI ≥10% (%)</w:t>
            </w:r>
          </w:p>
        </w:tc>
        <w:tc>
          <w:tcPr/>
          <w:p>
            <w:pPr>
              <w:pStyle w:val="Compact"/>
              <w:jc w:val="left"/>
            </w:pPr>
            <w:r>
              <w:t xml:space="preserve">Website (%)</w:t>
            </w:r>
          </w:p>
        </w:tc>
        <w:tc>
          <w:tcPr/>
          <w:p>
            <w:pPr>
              <w:pStyle w:val="Compact"/>
              <w:jc w:val="left"/>
            </w:pPr>
            <w:r>
              <w:t xml:space="preserve">R&amp;D (%)</w:t>
            </w:r>
          </w:p>
        </w:tc>
        <w:tc>
          <w:tcPr/>
          <w:p>
            <w:pPr>
              <w:pStyle w:val="Compact"/>
              <w:jc w:val="left"/>
            </w:pPr>
            <w:r>
              <w:t xml:space="preserve">ISO (%)</w:t>
            </w:r>
          </w:p>
        </w:tc>
        <w:tc>
          <w:tcPr/>
          <w:p>
            <w:pPr>
              <w:pStyle w:val="Compact"/>
              <w:jc w:val="left"/>
            </w:pPr>
            <w:r>
              <w:t xml:space="preserve">sd log</w:t>
            </w:r>
          </w:p>
        </w:tc>
      </w:tr>
      <w:tr>
        <w:tc>
          <w:tcPr/>
          <w:p>
            <w:pPr>
              <w:pStyle w:val="Compact"/>
              <w:jc w:val="left"/>
            </w:pPr>
            <w:r>
              <w:t xml:space="preserve">Emerging — FDI dẫn dắt SEA</w:t>
            </w:r>
          </w:p>
        </w:tc>
        <w:tc>
          <w:tcPr/>
          <w:p>
            <w:pPr>
              <w:pStyle w:val="Compact"/>
              <w:jc w:val="left"/>
            </w:pPr>
            <w:r>
              <w:t xml:space="preserve">VNM, IDN, PHL</w:t>
            </w:r>
          </w:p>
        </w:tc>
        <w:tc>
          <w:tcPr/>
          <w:p>
            <w:pPr>
              <w:pStyle w:val="Compact"/>
              <w:jc w:val="left"/>
            </w:pPr>
            <w:r>
              <w:t xml:space="preserve">13.779</w:t>
            </w:r>
          </w:p>
        </w:tc>
        <w:tc>
          <w:tcPr/>
          <w:p>
            <w:pPr>
              <w:pStyle w:val="Compact"/>
              <w:jc w:val="left"/>
            </w:pPr>
            <w:r>
              <w:rPr>
                <w:bCs/>
                <w:b/>
              </w:rPr>
              <w:t xml:space="preserve">13,2</w:t>
            </w:r>
          </w:p>
        </w:tc>
        <w:tc>
          <w:tcPr/>
          <w:p>
            <w:pPr>
              <w:pStyle w:val="Compact"/>
              <w:jc w:val="left"/>
            </w:pPr>
            <w:r>
              <w:t xml:space="preserve">22,1</w:t>
            </w:r>
          </w:p>
        </w:tc>
        <w:tc>
          <w:tcPr/>
          <w:p>
            <w:pPr>
              <w:pStyle w:val="Compact"/>
              <w:jc w:val="left"/>
            </w:pPr>
            <w:r>
              <w:t xml:space="preserve">11,4</w:t>
            </w:r>
          </w:p>
        </w:tc>
        <w:tc>
          <w:tcPr/>
          <w:p>
            <w:pPr>
              <w:pStyle w:val="Compact"/>
              <w:jc w:val="left"/>
            </w:pPr>
            <w:r>
              <w:t xml:space="preserve">47,3</w:t>
            </w:r>
          </w:p>
        </w:tc>
        <w:tc>
          <w:tcPr/>
          <w:p>
            <w:pPr>
              <w:pStyle w:val="Compact"/>
              <w:jc w:val="left"/>
            </w:pPr>
            <w:r>
              <w:t xml:space="preserve">4,8</w:t>
            </w:r>
          </w:p>
        </w:tc>
        <w:tc>
          <w:tcPr/>
          <w:p>
            <w:pPr>
              <w:pStyle w:val="Compact"/>
              <w:jc w:val="left"/>
            </w:pPr>
            <w:r>
              <w:t xml:space="preserve">18,8</w:t>
            </w:r>
          </w:p>
        </w:tc>
        <w:tc>
          <w:tcPr/>
          <w:p>
            <w:pPr>
              <w:pStyle w:val="Compact"/>
              <w:jc w:val="left"/>
            </w:pPr>
            <w:r>
              <w:t xml:space="preserve">1,53</w:t>
            </w:r>
          </w:p>
        </w:tc>
      </w:tr>
      <w:tr>
        <w:tc>
          <w:tcPr/>
          <w:p>
            <w:pPr>
              <w:pStyle w:val="Compact"/>
              <w:jc w:val="left"/>
            </w:pPr>
            <w:r>
              <w:t xml:space="preserve">Emerging — dân số lớn</w:t>
            </w:r>
          </w:p>
        </w:tc>
        <w:tc>
          <w:tcPr/>
          <w:p>
            <w:pPr>
              <w:pStyle w:val="Compact"/>
              <w:jc w:val="left"/>
            </w:pPr>
            <w:r>
              <w:t xml:space="preserve">IND, LKA, JOR</w:t>
            </w:r>
          </w:p>
        </w:tc>
        <w:tc>
          <w:tcPr/>
          <w:p>
            <w:pPr>
              <w:pStyle w:val="Compact"/>
              <w:jc w:val="left"/>
            </w:pPr>
            <w:r>
              <w:t xml:space="preserve">32.119</w:t>
            </w:r>
          </w:p>
        </w:tc>
        <w:tc>
          <w:tcPr/>
          <w:p>
            <w:pPr>
              <w:pStyle w:val="Compact"/>
              <w:jc w:val="left"/>
            </w:pPr>
            <w:r>
              <w:rPr>
                <w:bCs/>
                <w:b/>
              </w:rPr>
              <w:t xml:space="preserve">7,2</w:t>
            </w:r>
          </w:p>
        </w:tc>
        <w:tc>
          <w:tcPr/>
          <w:p>
            <w:pPr>
              <w:pStyle w:val="Compact"/>
              <w:jc w:val="left"/>
            </w:pPr>
            <w:r>
              <w:t xml:space="preserve">13,8</w:t>
            </w:r>
          </w:p>
        </w:tc>
        <w:tc>
          <w:tcPr/>
          <w:p>
            <w:pPr>
              <w:pStyle w:val="Compact"/>
              <w:jc w:val="left"/>
            </w:pPr>
            <w:r>
              <w:t xml:space="preserve">1,9</w:t>
            </w:r>
          </w:p>
        </w:tc>
        <w:tc>
          <w:tcPr/>
          <w:p>
            <w:pPr>
              <w:pStyle w:val="Compact"/>
              <w:jc w:val="left"/>
            </w:pPr>
            <w:r>
              <w:t xml:space="preserve">49,5</w:t>
            </w:r>
          </w:p>
        </w:tc>
        <w:tc>
          <w:tcPr/>
          <w:p>
            <w:pPr>
              <w:pStyle w:val="Compact"/>
              <w:jc w:val="left"/>
            </w:pPr>
            <w:r>
              <w:t xml:space="preserve">19,8</w:t>
            </w:r>
          </w:p>
        </w:tc>
        <w:tc>
          <w:tcPr/>
          <w:p>
            <w:pPr>
              <w:pStyle w:val="Compact"/>
              <w:jc w:val="left"/>
            </w:pPr>
            <w:r>
              <w:t xml:space="preserve">27,6</w:t>
            </w:r>
          </w:p>
        </w:tc>
        <w:tc>
          <w:tcPr/>
          <w:p>
            <w:pPr>
              <w:pStyle w:val="Compact"/>
              <w:jc w:val="left"/>
            </w:pPr>
            <w:r>
              <w:t xml:space="preserve">1,16</w:t>
            </w:r>
          </w:p>
        </w:tc>
      </w:tr>
      <w:tr>
        <w:tc>
          <w:tcPr/>
          <w:p>
            <w:pPr>
              <w:pStyle w:val="Compact"/>
              <w:jc w:val="left"/>
            </w:pPr>
            <w:r>
              <w:t xml:space="preserve">Emerging — tài nguyên</w:t>
            </w:r>
          </w:p>
        </w:tc>
        <w:tc>
          <w:tcPr/>
          <w:p>
            <w:pPr>
              <w:pStyle w:val="Compact"/>
              <w:jc w:val="left"/>
            </w:pPr>
            <w:r>
              <w:t xml:space="preserve">MNG</w:t>
            </w:r>
          </w:p>
        </w:tc>
        <w:tc>
          <w:tcPr/>
          <w:p>
            <w:pPr>
              <w:pStyle w:val="Compact"/>
              <w:jc w:val="left"/>
            </w:pPr>
            <w:r>
              <w:t xml:space="preserve">1.905</w:t>
            </w:r>
          </w:p>
        </w:tc>
        <w:tc>
          <w:tcPr/>
          <w:p>
            <w:pPr>
              <w:pStyle w:val="Compact"/>
              <w:jc w:val="left"/>
            </w:pPr>
            <w:r>
              <w:rPr>
                <w:bCs/>
                <w:b/>
              </w:rPr>
              <w:t xml:space="preserve">5,0</w:t>
            </w:r>
          </w:p>
        </w:tc>
        <w:tc>
          <w:tcPr/>
          <w:p>
            <w:pPr>
              <w:pStyle w:val="Compact"/>
              <w:jc w:val="left"/>
            </w:pPr>
            <w:r>
              <w:t xml:space="preserve">9,7</w:t>
            </w:r>
          </w:p>
        </w:tc>
        <w:tc>
          <w:tcPr/>
          <w:p>
            <w:pPr>
              <w:pStyle w:val="Compact"/>
              <w:jc w:val="left"/>
            </w:pPr>
            <w:r>
              <w:t xml:space="preserve">4,7</w:t>
            </w:r>
          </w:p>
        </w:tc>
        <w:tc>
          <w:tcPr/>
          <w:p>
            <w:pPr>
              <w:pStyle w:val="Compact"/>
              <w:jc w:val="left"/>
            </w:pPr>
            <w:r>
              <w:t xml:space="preserve">50,1</w:t>
            </w:r>
          </w:p>
        </w:tc>
        <w:tc>
          <w:tcPr/>
          <w:p>
            <w:pPr>
              <w:pStyle w:val="Compact"/>
              <w:jc w:val="left"/>
            </w:pPr>
            <w:r>
              <w:t xml:space="preserve">20,8</w:t>
            </w:r>
          </w:p>
        </w:tc>
        <w:tc>
          <w:tcPr/>
          <w:p>
            <w:pPr>
              <w:pStyle w:val="Compact"/>
              <w:jc w:val="left"/>
            </w:pPr>
            <w:r>
              <w:t xml:space="preserve">15,4</w:t>
            </w:r>
          </w:p>
        </w:tc>
        <w:tc>
          <w:tcPr/>
          <w:p>
            <w:pPr>
              <w:pStyle w:val="Compact"/>
              <w:jc w:val="left"/>
            </w:pPr>
            <w:r>
              <w:t xml:space="preserve">1,16</w:t>
            </w:r>
          </w:p>
        </w:tc>
      </w:tr>
      <w:tr>
        <w:tc>
          <w:tcPr/>
          <w:p>
            <w:pPr>
              <w:pStyle w:val="Compact"/>
              <w:jc w:val="left"/>
            </w:pPr>
            <w:r>
              <w:rPr>
                <w:bCs/>
                <w:b/>
              </w:rPr>
              <w:t xml:space="preserve">Tổng Emerging</w:t>
            </w:r>
          </w:p>
        </w:tc>
        <w:tc>
          <w:tcPr/>
          <w:p>
            <w:pPr>
              <w:pStyle w:val="Compact"/>
              <w:jc w:val="left"/>
            </w:pPr>
            <w:r>
              <w:t xml:space="preserve">7 nước</w:t>
            </w:r>
          </w:p>
        </w:tc>
        <w:tc>
          <w:tcPr/>
          <w:p>
            <w:pPr>
              <w:pStyle w:val="Compact"/>
              <w:jc w:val="left"/>
            </w:pPr>
            <w:r>
              <w:rPr>
                <w:bCs/>
                <w:b/>
              </w:rPr>
              <w:t xml:space="preserve">47.803</w:t>
            </w:r>
          </w:p>
        </w:tc>
        <w:tc>
          <w:tcPr/>
          <w:p>
            <w:pPr>
              <w:pStyle w:val="Compact"/>
              <w:jc w:val="left"/>
            </w:pPr>
            <w:r>
              <w:t xml:space="preserve">8,6</w:t>
            </w:r>
          </w:p>
        </w:tc>
        <w:tc>
          <w:tcPr/>
          <w:p>
            <w:pPr>
              <w:pStyle w:val="Compact"/>
              <w:jc w:val="left"/>
            </w:pPr>
            <w:r>
              <w:t xml:space="preserve">15,5</w:t>
            </w:r>
          </w:p>
        </w:tc>
        <w:tc>
          <w:tcPr/>
          <w:p>
            <w:pPr>
              <w:pStyle w:val="Compact"/>
              <w:jc w:val="left"/>
            </w:pPr>
            <w:r>
              <w:t xml:space="preserve">4,7</w:t>
            </w:r>
          </w:p>
        </w:tc>
        <w:tc>
          <w:tcPr/>
          <w:p>
            <w:pPr>
              <w:pStyle w:val="Compact"/>
              <w:jc w:val="left"/>
            </w:pPr>
            <w:r>
              <w:t xml:space="preserve">49,2</w:t>
            </w:r>
          </w:p>
        </w:tc>
        <w:tc>
          <w:tcPr/>
          <w:p>
            <w:pPr>
              <w:pStyle w:val="Compact"/>
              <w:jc w:val="left"/>
            </w:pPr>
            <w:r>
              <w:t xml:space="preserve">16,4</w:t>
            </w:r>
          </w:p>
        </w:tc>
        <w:tc>
          <w:tcPr/>
          <w:p>
            <w:pPr>
              <w:pStyle w:val="Compact"/>
              <w:jc w:val="left"/>
            </w:pPr>
            <w:r>
              <w:t xml:space="preserve">24,9</w:t>
            </w:r>
          </w:p>
        </w:tc>
        <w:tc>
          <w:tcPr/>
          <w:p>
            <w:pPr>
              <w:pStyle w:val="Compact"/>
              <w:jc w:val="left"/>
            </w:pPr>
            <w:r>
              <w:t xml:space="preserve">1,24</w:t>
            </w:r>
          </w:p>
        </w:tc>
      </w:tr>
    </w:tbl>
    <w:p>
      <w:pPr>
        <w:pStyle w:val="BodyText"/>
      </w:pPr>
      <w:r>
        <w:t xml:space="preserve">Năm phát hiện: (1) FSTS phân tầng 5,0%-7,2%-13,2% bị che giấu; (2) FDI chênh lệch 6× ASEAN-3 vs Nam Á+Tây Á; (3) TCI ngược dấu; (4) Mongolia boundary case; (5) sd log 1,53 vs 1,16 — two-tier (Hsieh &amp; Klenow, 2009).</w:t>
      </w:r>
    </w:p>
    <w:bookmarkEnd w:id="52"/>
    <w:bookmarkStart w:id="53" w:name="Xff4a512a3a7369f731f273600b6b6df89aaf71a"/>
    <w:p>
      <w:pPr>
        <w:pStyle w:val="Heading3"/>
      </w:pPr>
      <w:r>
        <w:t xml:space="preserve">4.10 Phân tích sâu đợt khảo sát 2025</w:t>
      </w:r>
    </w:p>
    <w:p>
      <w:pPr>
        <w:pStyle w:val="BlockText"/>
      </w:pPr>
      <w:r>
        <w:rPr>
          <w:bCs/>
          <w:b/>
        </w:rPr>
        <w:t xml:space="preserve">Mới ở v2.8 (D2)</w:t>
      </w:r>
      <w:r>
        <w:t xml:space="preserve">: Đợt 2025 chiếm 16.979 doanh nghiệp (16,8% pool — v3.1 với Kiribati 2025).</w:t>
      </w:r>
    </w:p>
    <w:p>
      <w:pPr>
        <w:pStyle w:val="FirstParagraph"/>
      </w:pPr>
      <w:r>
        <w:rPr>
          <w:bCs/>
          <w:b/>
        </w:rPr>
        <w:t xml:space="preserve">Bảng 4.10</w:t>
      </w:r>
      <w:r>
        <w:t xml:space="preserve">.</w:t>
      </w:r>
      <w:r>
        <w:t xml:space="preserve"> </w:t>
      </w:r>
      <w:r>
        <w:rPr>
          <w:iCs/>
          <w:i/>
        </w:rPr>
        <w:t xml:space="preserve">14 quốc gia trong đợt 2025 (n=16.979 — v3.1 với Kiribati 2025).</w:t>
      </w:r>
    </w:p>
    <w:tbl>
      <w:tblPr>
        <w:tblStyle w:val="Table"/>
        <w:tblW w:type="auto" w:w="0"/>
        <w:tblLook w:firstRow="1" w:lastRow="0" w:firstColumn="0" w:lastColumn="0" w:noHBand="0" w:noVBand="0" w:val="0020"/>
        <w:jc w:val="start"/>
      </w:tblPr>
      <w:tblGrid>
        <w:gridCol w:w="880"/>
        <w:gridCol w:w="880"/>
        <w:gridCol w:w="880"/>
        <w:gridCol w:w="880"/>
        <w:gridCol w:w="880"/>
        <w:gridCol w:w="880"/>
        <w:gridCol w:w="880"/>
        <w:gridCol w:w="880"/>
        <w:gridCol w:w="880"/>
      </w:tblGrid>
      <w:tr>
        <w:trPr>
          <w:tblHeader w:val="true"/>
        </w:trPr>
        <w:tc>
          <w:tcPr/>
          <w:p>
            <w:pPr>
              <w:pStyle w:val="Compact"/>
              <w:jc w:val="left"/>
            </w:pPr>
            <w:r>
              <w:t xml:space="preserve">Quốc gia</w:t>
            </w:r>
          </w:p>
        </w:tc>
        <w:tc>
          <w:tcPr/>
          <w:p>
            <w:pPr>
              <w:pStyle w:val="Compact"/>
              <w:jc w:val="left"/>
            </w:pPr>
            <w:r>
              <w:t xml:space="preserve">ISO3</w:t>
            </w:r>
          </w:p>
        </w:tc>
        <w:tc>
          <w:tcPr/>
          <w:p>
            <w:pPr>
              <w:pStyle w:val="Compact"/>
              <w:jc w:val="left"/>
            </w:pPr>
            <w:r>
              <w:t xml:space="preserve">Phân nhóm con</w:t>
            </w:r>
          </w:p>
        </w:tc>
        <w:tc>
          <w:tcPr/>
          <w:p>
            <w:pPr>
              <w:pStyle w:val="Compact"/>
              <w:jc w:val="left"/>
            </w:pPr>
            <w:r>
              <w:t xml:space="preserve">n_firms</w:t>
            </w:r>
          </w:p>
        </w:tc>
        <w:tc>
          <w:tcPr/>
          <w:p>
            <w:pPr>
              <w:pStyle w:val="Compact"/>
              <w:jc w:val="left"/>
            </w:pPr>
            <w:r>
              <w:t xml:space="preserve">FSTS (%)</w:t>
            </w:r>
          </w:p>
        </w:tc>
        <w:tc>
          <w:tcPr/>
          <w:p>
            <w:pPr>
              <w:pStyle w:val="Compact"/>
              <w:jc w:val="left"/>
            </w:pPr>
            <w:r>
              <w:t xml:space="preserve">FDI (%)</w:t>
            </w:r>
          </w:p>
        </w:tc>
        <w:tc>
          <w:tcPr/>
          <w:p>
            <w:pPr>
              <w:pStyle w:val="Compact"/>
              <w:jc w:val="left"/>
            </w:pPr>
            <w:r>
              <w:t xml:space="preserve">R&amp;D (%)</w:t>
            </w:r>
          </w:p>
        </w:tc>
        <w:tc>
          <w:tcPr/>
          <w:p>
            <w:pPr>
              <w:pStyle w:val="Compact"/>
              <w:jc w:val="left"/>
            </w:pPr>
            <w:r>
              <w:t xml:space="preserve">Website (%)</w:t>
            </w:r>
          </w:p>
        </w:tc>
        <w:tc>
          <w:tcPr/>
          <w:p>
            <w:pPr>
              <w:pStyle w:val="Compact"/>
              <w:jc w:val="left"/>
            </w:pPr>
            <w:r>
              <w:t xml:space="preserve">sd log</w:t>
            </w:r>
          </w:p>
        </w:tc>
      </w:tr>
      <w:tr>
        <w:tc>
          <w:tcPr/>
          <w:p>
            <w:pPr>
              <w:pStyle w:val="Compact"/>
              <w:jc w:val="left"/>
            </w:pPr>
            <w:r>
              <w:t xml:space="preserve">Ấn Độ</w:t>
            </w:r>
          </w:p>
        </w:tc>
        <w:tc>
          <w:tcPr/>
          <w:p>
            <w:pPr>
              <w:pStyle w:val="Compact"/>
              <w:jc w:val="left"/>
            </w:pPr>
            <w:r>
              <w:t xml:space="preserve">IND</w:t>
            </w:r>
          </w:p>
        </w:tc>
        <w:tc>
          <w:tcPr/>
          <w:p>
            <w:pPr>
              <w:pStyle w:val="Compact"/>
              <w:jc w:val="left"/>
            </w:pPr>
            <w:r>
              <w:t xml:space="preserve">Emerging</w:t>
            </w:r>
          </w:p>
        </w:tc>
        <w:tc>
          <w:tcPr/>
          <w:p>
            <w:pPr>
              <w:pStyle w:val="Compact"/>
              <w:jc w:val="left"/>
            </w:pPr>
            <w:r>
              <w:t xml:space="preserve">10.479</w:t>
            </w:r>
          </w:p>
        </w:tc>
        <w:tc>
          <w:tcPr/>
          <w:p>
            <w:pPr>
              <w:pStyle w:val="Compact"/>
              <w:jc w:val="left"/>
            </w:pPr>
            <w:r>
              <w:t xml:space="preserve">2,7</w:t>
            </w:r>
          </w:p>
        </w:tc>
        <w:tc>
          <w:tcPr/>
          <w:p>
            <w:pPr>
              <w:pStyle w:val="Compact"/>
              <w:jc w:val="left"/>
            </w:pPr>
            <w:r>
              <w:t xml:space="preserve">1,9</w:t>
            </w:r>
          </w:p>
        </w:tc>
        <w:tc>
          <w:tcPr/>
          <w:p>
            <w:pPr>
              <w:pStyle w:val="Compact"/>
              <w:jc w:val="left"/>
            </w:pPr>
            <w:r>
              <w:t xml:space="preserve">2,2</w:t>
            </w:r>
          </w:p>
        </w:tc>
        <w:tc>
          <w:tcPr/>
          <w:p>
            <w:pPr>
              <w:pStyle w:val="Compact"/>
              <w:jc w:val="left"/>
            </w:pPr>
            <w:r>
              <w:t xml:space="preserve">41,8</w:t>
            </w:r>
          </w:p>
        </w:tc>
        <w:tc>
          <w:tcPr/>
          <w:p>
            <w:pPr>
              <w:pStyle w:val="Compact"/>
              <w:jc w:val="left"/>
            </w:pPr>
            <w:r>
              <w:t xml:space="preserve">0,83</w:t>
            </w:r>
          </w:p>
        </w:tc>
      </w:tr>
      <w:tr>
        <w:tc>
          <w:tcPr/>
          <w:p>
            <w:pPr>
              <w:pStyle w:val="Compact"/>
              <w:jc w:val="left"/>
            </w:pPr>
            <w:r>
              <w:t xml:space="preserve">Nepal¹</w:t>
            </w:r>
          </w:p>
        </w:tc>
        <w:tc>
          <w:tcPr/>
          <w:p>
            <w:pPr>
              <w:pStyle w:val="Compact"/>
              <w:jc w:val="left"/>
            </w:pPr>
            <w:r>
              <w:t xml:space="preserve">NPL</w:t>
            </w:r>
          </w:p>
        </w:tc>
        <w:tc>
          <w:tcPr/>
          <w:p>
            <w:pPr>
              <w:pStyle w:val="Compact"/>
              <w:jc w:val="left"/>
            </w:pPr>
            <w:r>
              <w:t xml:space="preserve">Frontier</w:t>
            </w:r>
          </w:p>
        </w:tc>
        <w:tc>
          <w:tcPr/>
          <w:p>
            <w:pPr>
              <w:pStyle w:val="Compact"/>
              <w:jc w:val="left"/>
            </w:pPr>
            <w:r>
              <w:t xml:space="preserve">1.740</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Saudi Arabia</w:t>
            </w:r>
          </w:p>
        </w:tc>
        <w:tc>
          <w:tcPr/>
          <w:p>
            <w:pPr>
              <w:pStyle w:val="Compact"/>
              <w:jc w:val="left"/>
            </w:pPr>
            <w:r>
              <w:t xml:space="preserve">SAU</w:t>
            </w:r>
          </w:p>
        </w:tc>
        <w:tc>
          <w:tcPr/>
          <w:p>
            <w:pPr>
              <w:pStyle w:val="Compact"/>
              <w:jc w:val="left"/>
            </w:pPr>
            <w:r>
              <w:t xml:space="preserve">Advanced</w:t>
            </w:r>
          </w:p>
        </w:tc>
        <w:tc>
          <w:tcPr/>
          <w:p>
            <w:pPr>
              <w:pStyle w:val="Compact"/>
              <w:jc w:val="left"/>
            </w:pPr>
            <w:r>
              <w:t xml:space="preserve">1.002</w:t>
            </w:r>
          </w:p>
        </w:tc>
        <w:tc>
          <w:tcPr/>
          <w:p>
            <w:pPr>
              <w:pStyle w:val="Compact"/>
              <w:jc w:val="left"/>
            </w:pPr>
            <w:r>
              <w:t xml:space="preserve">2,7</w:t>
            </w:r>
          </w:p>
        </w:tc>
        <w:tc>
          <w:tcPr/>
          <w:p>
            <w:pPr>
              <w:pStyle w:val="Compact"/>
              <w:jc w:val="left"/>
            </w:pPr>
            <w:r>
              <w:t xml:space="preserve">9,5</w:t>
            </w:r>
          </w:p>
        </w:tc>
        <w:tc>
          <w:tcPr/>
          <w:p>
            <w:pPr>
              <w:pStyle w:val="Compact"/>
              <w:jc w:val="left"/>
            </w:pPr>
            <w:r>
              <w:t xml:space="preserve">1,7</w:t>
            </w:r>
          </w:p>
        </w:tc>
        <w:tc>
          <w:tcPr/>
          <w:p>
            <w:pPr>
              <w:pStyle w:val="Compact"/>
              <w:jc w:val="left"/>
            </w:pPr>
            <w:r>
              <w:t xml:space="preserve">30,2</w:t>
            </w:r>
          </w:p>
        </w:tc>
        <w:tc>
          <w:tcPr/>
          <w:p>
            <w:pPr>
              <w:pStyle w:val="Compact"/>
              <w:jc w:val="left"/>
            </w:pPr>
            <w:r>
              <w:rPr>
                <w:bCs/>
                <w:b/>
              </w:rPr>
              <w:t xml:space="preserve">0,47</w:t>
            </w:r>
          </w:p>
        </w:tc>
      </w:tr>
      <w:tr>
        <w:tc>
          <w:tcPr/>
          <w:p>
            <w:pPr>
              <w:pStyle w:val="Compact"/>
              <w:jc w:val="left"/>
            </w:pPr>
            <w:r>
              <w:t xml:space="preserve">Thái Lan</w:t>
            </w:r>
          </w:p>
        </w:tc>
        <w:tc>
          <w:tcPr/>
          <w:p>
            <w:pPr>
              <w:pStyle w:val="Compact"/>
              <w:jc w:val="left"/>
            </w:pPr>
            <w:r>
              <w:t xml:space="preserve">THA</w:t>
            </w:r>
          </w:p>
        </w:tc>
        <w:tc>
          <w:tcPr/>
          <w:p>
            <w:pPr>
              <w:pStyle w:val="Compact"/>
              <w:jc w:val="left"/>
            </w:pPr>
            <w:r>
              <w:t xml:space="preserve">Upper-middle</w:t>
            </w:r>
          </w:p>
        </w:tc>
        <w:tc>
          <w:tcPr/>
          <w:p>
            <w:pPr>
              <w:pStyle w:val="Compact"/>
              <w:jc w:val="left"/>
            </w:pPr>
            <w:r>
              <w:t xml:space="preserve">813</w:t>
            </w:r>
          </w:p>
        </w:tc>
        <w:tc>
          <w:tcPr/>
          <w:p>
            <w:pPr>
              <w:pStyle w:val="Compact"/>
              <w:jc w:val="left"/>
            </w:pPr>
            <w:r>
              <w:t xml:space="preserve">9,3</w:t>
            </w:r>
          </w:p>
        </w:tc>
        <w:tc>
          <w:tcPr/>
          <w:p>
            <w:pPr>
              <w:pStyle w:val="Compact"/>
              <w:jc w:val="left"/>
            </w:pPr>
            <w:r>
              <w:t xml:space="preserve">6,3</w:t>
            </w:r>
          </w:p>
        </w:tc>
        <w:tc>
          <w:tcPr/>
          <w:p>
            <w:pPr>
              <w:pStyle w:val="Compact"/>
              <w:jc w:val="left"/>
            </w:pPr>
            <w:r>
              <w:t xml:space="preserve">8,7</w:t>
            </w:r>
          </w:p>
        </w:tc>
        <w:tc>
          <w:tcPr/>
          <w:p>
            <w:pPr>
              <w:pStyle w:val="Compact"/>
              <w:jc w:val="left"/>
            </w:pPr>
            <w:r>
              <w:t xml:space="preserve">61,9</w:t>
            </w:r>
          </w:p>
        </w:tc>
        <w:tc>
          <w:tcPr/>
          <w:p>
            <w:pPr>
              <w:pStyle w:val="Compact"/>
              <w:jc w:val="left"/>
            </w:pPr>
            <w:r>
              <w:t xml:space="preserve">1,38</w:t>
            </w:r>
          </w:p>
        </w:tc>
      </w:tr>
      <w:tr>
        <w:tc>
          <w:tcPr/>
          <w:p>
            <w:pPr>
              <w:pStyle w:val="Compact"/>
              <w:jc w:val="left"/>
            </w:pPr>
            <w:r>
              <w:t xml:space="preserve">Sri Lanka</w:t>
            </w:r>
          </w:p>
        </w:tc>
        <w:tc>
          <w:tcPr/>
          <w:p>
            <w:pPr>
              <w:pStyle w:val="Compact"/>
              <w:jc w:val="left"/>
            </w:pPr>
            <w:r>
              <w:t xml:space="preserve">LKA</w:t>
            </w:r>
          </w:p>
        </w:tc>
        <w:tc>
          <w:tcPr/>
          <w:p>
            <w:pPr>
              <w:pStyle w:val="Compact"/>
              <w:jc w:val="left"/>
            </w:pPr>
            <w:r>
              <w:t xml:space="preserve">Emerging</w:t>
            </w:r>
          </w:p>
        </w:tc>
        <w:tc>
          <w:tcPr/>
          <w:p>
            <w:pPr>
              <w:pStyle w:val="Compact"/>
              <w:jc w:val="left"/>
            </w:pPr>
            <w:r>
              <w:t xml:space="preserve">607</w:t>
            </w:r>
          </w:p>
        </w:tc>
        <w:tc>
          <w:tcPr/>
          <w:p>
            <w:pPr>
              <w:pStyle w:val="Compact"/>
              <w:jc w:val="left"/>
            </w:pPr>
            <w:r>
              <w:t xml:space="preserve">16,1</w:t>
            </w:r>
          </w:p>
        </w:tc>
        <w:tc>
          <w:tcPr/>
          <w:p>
            <w:pPr>
              <w:pStyle w:val="Compact"/>
              <w:jc w:val="left"/>
            </w:pPr>
            <w:r>
              <w:t xml:space="preserve">1,8</w:t>
            </w:r>
          </w:p>
        </w:tc>
        <w:tc>
          <w:tcPr/>
          <w:p>
            <w:pPr>
              <w:pStyle w:val="Compact"/>
              <w:jc w:val="left"/>
            </w:pPr>
            <w:r>
              <w:t xml:space="preserve">4,1</w:t>
            </w:r>
          </w:p>
        </w:tc>
        <w:tc>
          <w:tcPr/>
          <w:p>
            <w:pPr>
              <w:pStyle w:val="Compact"/>
              <w:jc w:val="left"/>
            </w:pPr>
            <w:r>
              <w:t xml:space="preserve">48,8</w:t>
            </w:r>
          </w:p>
        </w:tc>
        <w:tc>
          <w:tcPr/>
          <w:p>
            <w:pPr>
              <w:pStyle w:val="Compact"/>
              <w:jc w:val="left"/>
            </w:pPr>
            <w:r>
              <w:t xml:space="preserve">1,00</w:t>
            </w:r>
          </w:p>
        </w:tc>
      </w:tr>
      <w:tr>
        <w:tc>
          <w:tcPr/>
          <w:p>
            <w:pPr>
              <w:pStyle w:val="Compact"/>
              <w:jc w:val="left"/>
            </w:pPr>
            <w:r>
              <w:t xml:space="preserve">Mongolia</w:t>
            </w:r>
          </w:p>
        </w:tc>
        <w:tc>
          <w:tcPr/>
          <w:p>
            <w:pPr>
              <w:pStyle w:val="Compact"/>
              <w:jc w:val="left"/>
            </w:pPr>
            <w:r>
              <w:t xml:space="preserve">MNG</w:t>
            </w:r>
          </w:p>
        </w:tc>
        <w:tc>
          <w:tcPr/>
          <w:p>
            <w:pPr>
              <w:pStyle w:val="Compact"/>
              <w:jc w:val="left"/>
            </w:pPr>
            <w:r>
              <w:t xml:space="preserve">Emerging</w:t>
            </w:r>
          </w:p>
        </w:tc>
        <w:tc>
          <w:tcPr/>
          <w:p>
            <w:pPr>
              <w:pStyle w:val="Compact"/>
              <w:jc w:val="left"/>
            </w:pPr>
            <w:r>
              <w:t xml:space="preserve">601</w:t>
            </w:r>
          </w:p>
        </w:tc>
        <w:tc>
          <w:tcPr/>
          <w:p>
            <w:pPr>
              <w:pStyle w:val="Compact"/>
              <w:jc w:val="left"/>
            </w:pPr>
            <w:r>
              <w:t xml:space="preserve">5,9</w:t>
            </w:r>
          </w:p>
        </w:tc>
        <w:tc>
          <w:tcPr/>
          <w:p>
            <w:pPr>
              <w:pStyle w:val="Compact"/>
              <w:jc w:val="left"/>
            </w:pPr>
            <w:r>
              <w:t xml:space="preserve">3,2</w:t>
            </w:r>
          </w:p>
        </w:tc>
        <w:tc>
          <w:tcPr/>
          <w:p>
            <w:pPr>
              <w:pStyle w:val="Compact"/>
              <w:jc w:val="left"/>
            </w:pPr>
            <w:r>
              <w:t xml:space="preserve">20,8</w:t>
            </w:r>
          </w:p>
        </w:tc>
        <w:tc>
          <w:tcPr/>
          <w:p>
            <w:pPr>
              <w:pStyle w:val="Compact"/>
              <w:jc w:val="left"/>
            </w:pPr>
            <w:r>
              <w:t xml:space="preserve">64,7</w:t>
            </w:r>
          </w:p>
        </w:tc>
        <w:tc>
          <w:tcPr/>
          <w:p>
            <w:pPr>
              <w:pStyle w:val="Compact"/>
              <w:jc w:val="left"/>
            </w:pPr>
            <w:r>
              <w:t xml:space="preserve">1,15</w:t>
            </w:r>
          </w:p>
        </w:tc>
      </w:tr>
      <w:tr>
        <w:tc>
          <w:tcPr/>
          <w:p>
            <w:pPr>
              <w:pStyle w:val="Compact"/>
              <w:jc w:val="left"/>
            </w:pPr>
            <w:r>
              <w:t xml:space="preserve">Qatar</w:t>
            </w:r>
          </w:p>
        </w:tc>
        <w:tc>
          <w:tcPr/>
          <w:p>
            <w:pPr>
              <w:pStyle w:val="Compact"/>
              <w:jc w:val="left"/>
            </w:pPr>
            <w:r>
              <w:t xml:space="preserve">QAT</w:t>
            </w:r>
          </w:p>
        </w:tc>
        <w:tc>
          <w:tcPr/>
          <w:p>
            <w:pPr>
              <w:pStyle w:val="Compact"/>
              <w:jc w:val="left"/>
            </w:pPr>
            <w:r>
              <w:t xml:space="preserve">Advanced</w:t>
            </w:r>
          </w:p>
        </w:tc>
        <w:tc>
          <w:tcPr/>
          <w:p>
            <w:pPr>
              <w:pStyle w:val="Compact"/>
              <w:jc w:val="left"/>
            </w:pPr>
            <w:r>
              <w:t xml:space="preserve">480</w:t>
            </w:r>
          </w:p>
        </w:tc>
        <w:tc>
          <w:tcPr/>
          <w:p>
            <w:pPr>
              <w:pStyle w:val="Compact"/>
              <w:jc w:val="left"/>
            </w:pPr>
            <w:r>
              <w:t xml:space="preserve">2,3</w:t>
            </w:r>
          </w:p>
        </w:tc>
        <w:tc>
          <w:tcPr/>
          <w:p>
            <w:pPr>
              <w:pStyle w:val="Compact"/>
              <w:jc w:val="left"/>
            </w:pPr>
            <w:r>
              <w:t xml:space="preserve">19,4</w:t>
            </w:r>
          </w:p>
        </w:tc>
        <w:tc>
          <w:tcPr/>
          <w:p>
            <w:pPr>
              <w:pStyle w:val="Compact"/>
              <w:jc w:val="left"/>
            </w:pPr>
            <w:r>
              <w:t xml:space="preserve">0,6</w:t>
            </w:r>
          </w:p>
        </w:tc>
        <w:tc>
          <w:tcPr/>
          <w:p>
            <w:pPr>
              <w:pStyle w:val="Compact"/>
              <w:jc w:val="left"/>
            </w:pPr>
            <w:r>
              <w:t xml:space="preserve">63,3</w:t>
            </w:r>
          </w:p>
        </w:tc>
        <w:tc>
          <w:tcPr/>
          <w:p>
            <w:pPr>
              <w:pStyle w:val="Compact"/>
              <w:jc w:val="left"/>
            </w:pPr>
            <w:r>
              <w:rPr>
                <w:bCs/>
                <w:b/>
              </w:rPr>
              <w:t xml:space="preserve">0,31</w:t>
            </w:r>
          </w:p>
        </w:tc>
      </w:tr>
      <w:tr>
        <w:tc>
          <w:tcPr/>
          <w:p>
            <w:pPr>
              <w:pStyle w:val="Compact"/>
              <w:jc w:val="left"/>
            </w:pPr>
            <w:r>
              <w:t xml:space="preserve">Afghanistan</w:t>
            </w:r>
          </w:p>
        </w:tc>
        <w:tc>
          <w:tcPr/>
          <w:p>
            <w:pPr>
              <w:pStyle w:val="Compact"/>
              <w:jc w:val="left"/>
            </w:pPr>
            <w:r>
              <w:t xml:space="preserve">AFG</w:t>
            </w:r>
          </w:p>
        </w:tc>
        <w:tc>
          <w:tcPr/>
          <w:p>
            <w:pPr>
              <w:pStyle w:val="Compact"/>
              <w:jc w:val="left"/>
            </w:pPr>
            <w:r>
              <w:t xml:space="preserve">Frontier</w:t>
            </w:r>
          </w:p>
        </w:tc>
        <w:tc>
          <w:tcPr/>
          <w:p>
            <w:pPr>
              <w:pStyle w:val="Compact"/>
              <w:jc w:val="left"/>
            </w:pPr>
            <w:r>
              <w:t xml:space="preserve">480</w:t>
            </w:r>
          </w:p>
        </w:tc>
        <w:tc>
          <w:tcPr/>
          <w:p>
            <w:pPr>
              <w:pStyle w:val="Compact"/>
              <w:jc w:val="left"/>
            </w:pPr>
            <w:r>
              <w:t xml:space="preserve">6,4</w:t>
            </w:r>
          </w:p>
        </w:tc>
        <w:tc>
          <w:tcPr/>
          <w:p>
            <w:pPr>
              <w:pStyle w:val="Compact"/>
              <w:jc w:val="left"/>
            </w:pPr>
            <w:r>
              <w:t xml:space="preserve">1,0</w:t>
            </w:r>
          </w:p>
        </w:tc>
        <w:tc>
          <w:tcPr/>
          <w:p>
            <w:pPr>
              <w:pStyle w:val="Compact"/>
              <w:jc w:val="left"/>
            </w:pPr>
            <w:r>
              <w:t xml:space="preserve">25,8</w:t>
            </w:r>
          </w:p>
        </w:tc>
        <w:tc>
          <w:tcPr/>
          <w:p>
            <w:pPr>
              <w:pStyle w:val="Compact"/>
              <w:jc w:val="left"/>
            </w:pPr>
            <w:r>
              <w:t xml:space="preserve">45,8</w:t>
            </w:r>
          </w:p>
        </w:tc>
        <w:tc>
          <w:tcPr/>
          <w:p>
            <w:pPr>
              <w:pStyle w:val="Compact"/>
              <w:jc w:val="left"/>
            </w:pPr>
            <w:r>
              <w:t xml:space="preserve">1,42</w:t>
            </w:r>
          </w:p>
        </w:tc>
      </w:tr>
      <w:tr>
        <w:tc>
          <w:tcPr/>
          <w:p>
            <w:pPr>
              <w:pStyle w:val="Compact"/>
              <w:jc w:val="left"/>
            </w:pPr>
            <w:r>
              <w:t xml:space="preserve">Maldives</w:t>
            </w:r>
          </w:p>
        </w:tc>
        <w:tc>
          <w:tcPr/>
          <w:p>
            <w:pPr>
              <w:pStyle w:val="Compact"/>
              <w:jc w:val="left"/>
            </w:pPr>
            <w:r>
              <w:t xml:space="preserve">MDV</w:t>
            </w:r>
          </w:p>
        </w:tc>
        <w:tc>
          <w:tcPr/>
          <w:p>
            <w:pPr>
              <w:pStyle w:val="Compact"/>
              <w:jc w:val="left"/>
            </w:pPr>
            <w:r>
              <w:t xml:space="preserve">Frontier</w:t>
            </w:r>
          </w:p>
        </w:tc>
        <w:tc>
          <w:tcPr/>
          <w:p>
            <w:pPr>
              <w:pStyle w:val="Compact"/>
              <w:jc w:val="left"/>
            </w:pPr>
            <w:r>
              <w:t xml:space="preserve">154</w:t>
            </w:r>
          </w:p>
        </w:tc>
        <w:tc>
          <w:tcPr/>
          <w:p>
            <w:pPr>
              <w:pStyle w:val="Compact"/>
              <w:jc w:val="left"/>
            </w:pPr>
            <w:r>
              <w:t xml:space="preserve">5,8</w:t>
            </w:r>
          </w:p>
        </w:tc>
        <w:tc>
          <w:tcPr/>
          <w:p>
            <w:pPr>
              <w:pStyle w:val="Compact"/>
              <w:jc w:val="left"/>
            </w:pPr>
            <w:r>
              <w:t xml:space="preserve">4,5</w:t>
            </w:r>
          </w:p>
        </w:tc>
        <w:tc>
          <w:tcPr/>
          <w:p>
            <w:pPr>
              <w:pStyle w:val="Compact"/>
              <w:jc w:val="left"/>
            </w:pPr>
            <w:r>
              <w:t xml:space="preserve">22,4</w:t>
            </w:r>
          </w:p>
        </w:tc>
        <w:tc>
          <w:tcPr/>
          <w:p>
            <w:pPr>
              <w:pStyle w:val="Compact"/>
              <w:jc w:val="left"/>
            </w:pPr>
            <w:r>
              <w:rPr>
                <w:bCs/>
                <w:b/>
              </w:rPr>
              <w:t xml:space="preserve">73,4</w:t>
            </w:r>
          </w:p>
        </w:tc>
        <w:tc>
          <w:tcPr/>
          <w:p>
            <w:pPr>
              <w:pStyle w:val="Compact"/>
              <w:jc w:val="left"/>
            </w:pPr>
            <w:r>
              <w:t xml:space="preserve">1,36</w:t>
            </w:r>
          </w:p>
        </w:tc>
      </w:tr>
      <w:tr>
        <w:tc>
          <w:tcPr/>
          <w:p>
            <w:pPr>
              <w:pStyle w:val="Compact"/>
              <w:jc w:val="left"/>
            </w:pPr>
            <w:r>
              <w:t xml:space="preserve">Fiji</w:t>
            </w:r>
          </w:p>
        </w:tc>
        <w:tc>
          <w:tcPr/>
          <w:p>
            <w:pPr>
              <w:pStyle w:val="Compact"/>
              <w:jc w:val="left"/>
            </w:pPr>
            <w:r>
              <w:t xml:space="preserve">FJI</w:t>
            </w:r>
          </w:p>
        </w:tc>
        <w:tc>
          <w:tcPr/>
          <w:p>
            <w:pPr>
              <w:pStyle w:val="Compact"/>
              <w:jc w:val="left"/>
            </w:pPr>
            <w:r>
              <w:t xml:space="preserve">SIDS</w:t>
            </w:r>
          </w:p>
        </w:tc>
        <w:tc>
          <w:tcPr/>
          <w:p>
            <w:pPr>
              <w:pStyle w:val="Compact"/>
              <w:jc w:val="left"/>
            </w:pPr>
            <w:r>
              <w:t xml:space="preserve">151</w:t>
            </w:r>
          </w:p>
        </w:tc>
        <w:tc>
          <w:tcPr/>
          <w:p>
            <w:pPr>
              <w:pStyle w:val="Compact"/>
              <w:jc w:val="left"/>
            </w:pPr>
            <w:r>
              <w:t xml:space="preserve">12,5</w:t>
            </w:r>
          </w:p>
        </w:tc>
        <w:tc>
          <w:tcPr/>
          <w:p>
            <w:pPr>
              <w:pStyle w:val="Compact"/>
              <w:jc w:val="left"/>
            </w:pPr>
            <w:r>
              <w:t xml:space="preserve">9,9</w:t>
            </w:r>
          </w:p>
        </w:tc>
        <w:tc>
          <w:tcPr/>
          <w:p>
            <w:pPr>
              <w:pStyle w:val="Compact"/>
              <w:jc w:val="left"/>
            </w:pPr>
            <w:r>
              <w:t xml:space="preserve">18,8</w:t>
            </w:r>
          </w:p>
        </w:tc>
        <w:tc>
          <w:tcPr/>
          <w:p>
            <w:pPr>
              <w:pStyle w:val="Compact"/>
              <w:jc w:val="left"/>
            </w:pPr>
            <w:r>
              <w:rPr>
                <w:bCs/>
                <w:b/>
              </w:rPr>
              <w:t xml:space="preserve">74,8</w:t>
            </w:r>
          </w:p>
        </w:tc>
        <w:tc>
          <w:tcPr/>
          <w:p>
            <w:pPr>
              <w:pStyle w:val="Compact"/>
              <w:jc w:val="left"/>
            </w:pPr>
            <w:r>
              <w:t xml:space="preserve">1,09</w:t>
            </w:r>
          </w:p>
        </w:tc>
      </w:tr>
      <w:tr>
        <w:tc>
          <w:tcPr/>
          <w:p>
            <w:pPr>
              <w:pStyle w:val="Compact"/>
              <w:jc w:val="left"/>
            </w:pPr>
            <w:r>
              <w:t xml:space="preserve">Solomon Is.</w:t>
            </w:r>
          </w:p>
        </w:tc>
        <w:tc>
          <w:tcPr/>
          <w:p>
            <w:pPr>
              <w:pStyle w:val="Compact"/>
              <w:jc w:val="left"/>
            </w:pPr>
            <w:r>
              <w:t xml:space="preserve">SLB</w:t>
            </w:r>
          </w:p>
        </w:tc>
        <w:tc>
          <w:tcPr/>
          <w:p>
            <w:pPr>
              <w:pStyle w:val="Compact"/>
              <w:jc w:val="left"/>
            </w:pPr>
            <w:r>
              <w:t xml:space="preserve">SIDS</w:t>
            </w:r>
          </w:p>
        </w:tc>
        <w:tc>
          <w:tcPr/>
          <w:p>
            <w:pPr>
              <w:pStyle w:val="Compact"/>
              <w:jc w:val="left"/>
            </w:pPr>
            <w:r>
              <w:t xml:space="preserve">150</w:t>
            </w:r>
          </w:p>
        </w:tc>
        <w:tc>
          <w:tcPr/>
          <w:p>
            <w:pPr>
              <w:pStyle w:val="Compact"/>
              <w:jc w:val="left"/>
            </w:pPr>
            <w:r>
              <w:t xml:space="preserve">4,8</w:t>
            </w:r>
          </w:p>
        </w:tc>
        <w:tc>
          <w:tcPr/>
          <w:p>
            <w:pPr>
              <w:pStyle w:val="Compact"/>
              <w:jc w:val="left"/>
            </w:pPr>
            <w:r>
              <w:t xml:space="preserve">20,0</w:t>
            </w:r>
          </w:p>
        </w:tc>
        <w:tc>
          <w:tcPr/>
          <w:p>
            <w:pPr>
              <w:pStyle w:val="Compact"/>
              <w:jc w:val="left"/>
            </w:pPr>
            <w:r>
              <w:t xml:space="preserve">11,3</w:t>
            </w:r>
          </w:p>
        </w:tc>
        <w:tc>
          <w:tcPr/>
          <w:p>
            <w:pPr>
              <w:pStyle w:val="Compact"/>
              <w:jc w:val="left"/>
            </w:pPr>
            <w:r>
              <w:t xml:space="preserve">53,3</w:t>
            </w:r>
          </w:p>
        </w:tc>
        <w:tc>
          <w:tcPr/>
          <w:p>
            <w:pPr>
              <w:pStyle w:val="Compact"/>
              <w:jc w:val="left"/>
            </w:pPr>
            <w:r>
              <w:t xml:space="preserve">1,25</w:t>
            </w:r>
          </w:p>
        </w:tc>
      </w:tr>
      <w:tr>
        <w:tc>
          <w:tcPr/>
          <w:p>
            <w:pPr>
              <w:pStyle w:val="Compact"/>
              <w:jc w:val="left"/>
            </w:pPr>
            <w:r>
              <w:t xml:space="preserve">Brunei</w:t>
            </w:r>
          </w:p>
        </w:tc>
        <w:tc>
          <w:tcPr/>
          <w:p>
            <w:pPr>
              <w:pStyle w:val="Compact"/>
              <w:jc w:val="left"/>
            </w:pPr>
            <w:r>
              <w:t xml:space="preserve">BRN</w:t>
            </w:r>
          </w:p>
        </w:tc>
        <w:tc>
          <w:tcPr/>
          <w:p>
            <w:pPr>
              <w:pStyle w:val="Compact"/>
              <w:jc w:val="left"/>
            </w:pPr>
            <w:r>
              <w:t xml:space="preserve">Advanced</w:t>
            </w:r>
          </w:p>
        </w:tc>
        <w:tc>
          <w:tcPr/>
          <w:p>
            <w:pPr>
              <w:pStyle w:val="Compact"/>
              <w:jc w:val="left"/>
            </w:pPr>
            <w:r>
              <w:t xml:space="preserve">150</w:t>
            </w:r>
          </w:p>
        </w:tc>
        <w:tc>
          <w:tcPr/>
          <w:p>
            <w:pPr>
              <w:pStyle w:val="Compact"/>
              <w:jc w:val="left"/>
            </w:pPr>
            <w:r>
              <w:t xml:space="preserve">5,1</w:t>
            </w:r>
          </w:p>
        </w:tc>
        <w:tc>
          <w:tcPr/>
          <w:p>
            <w:pPr>
              <w:pStyle w:val="Compact"/>
              <w:jc w:val="left"/>
            </w:pPr>
            <w:r>
              <w:t xml:space="preserve">26,2</w:t>
            </w:r>
          </w:p>
        </w:tc>
        <w:tc>
          <w:tcPr/>
          <w:p>
            <w:pPr>
              <w:pStyle w:val="Compact"/>
              <w:jc w:val="left"/>
            </w:pPr>
            <w:r>
              <w:t xml:space="preserve">18,9</w:t>
            </w:r>
          </w:p>
        </w:tc>
        <w:tc>
          <w:tcPr/>
          <w:p>
            <w:pPr>
              <w:pStyle w:val="Compact"/>
              <w:jc w:val="left"/>
            </w:pPr>
            <w:r>
              <w:rPr>
                <w:bCs/>
                <w:b/>
              </w:rPr>
              <w:t xml:space="preserve">80,7</w:t>
            </w:r>
          </w:p>
        </w:tc>
        <w:tc>
          <w:tcPr/>
          <w:p>
            <w:pPr>
              <w:pStyle w:val="Compact"/>
              <w:jc w:val="left"/>
            </w:pPr>
            <w:r>
              <w:t xml:space="preserve">1,10</w:t>
            </w:r>
          </w:p>
        </w:tc>
      </w:tr>
      <w:tr>
        <w:tc>
          <w:tcPr/>
          <w:p>
            <w:pPr>
              <w:pStyle w:val="Compact"/>
              <w:jc w:val="left"/>
            </w:pPr>
            <w:r>
              <w:t xml:space="preserve">Kuwait</w:t>
            </w:r>
          </w:p>
        </w:tc>
        <w:tc>
          <w:tcPr/>
          <w:p>
            <w:pPr>
              <w:pStyle w:val="Compact"/>
              <w:jc w:val="left"/>
            </w:pPr>
            <w:r>
              <w:t xml:space="preserve">KWT</w:t>
            </w:r>
          </w:p>
        </w:tc>
        <w:tc>
          <w:tcPr/>
          <w:p>
            <w:pPr>
              <w:pStyle w:val="Compact"/>
              <w:jc w:val="left"/>
            </w:pPr>
            <w:r>
              <w:t xml:space="preserve">Advanced</w:t>
            </w:r>
          </w:p>
        </w:tc>
        <w:tc>
          <w:tcPr/>
          <w:p>
            <w:pPr>
              <w:pStyle w:val="Compact"/>
              <w:jc w:val="left"/>
            </w:pPr>
            <w:r>
              <w:t xml:space="preserve">150</w:t>
            </w:r>
          </w:p>
        </w:tc>
        <w:tc>
          <w:tcPr/>
          <w:p>
            <w:pPr>
              <w:pStyle w:val="Compact"/>
              <w:jc w:val="left"/>
            </w:pPr>
            <w:r>
              <w:rPr>
                <w:bCs/>
                <w:b/>
              </w:rPr>
              <w:t xml:space="preserve">0,4</w:t>
            </w:r>
          </w:p>
        </w:tc>
        <w:tc>
          <w:tcPr/>
          <w:p>
            <w:pPr>
              <w:pStyle w:val="Compact"/>
              <w:jc w:val="left"/>
            </w:pPr>
            <w:r>
              <w:t xml:space="preserve">0,0</w:t>
            </w:r>
          </w:p>
        </w:tc>
        <w:tc>
          <w:tcPr/>
          <w:p>
            <w:pPr>
              <w:pStyle w:val="Compact"/>
              <w:jc w:val="left"/>
            </w:pPr>
            <w:r>
              <w:t xml:space="preserve">20,7</w:t>
            </w:r>
          </w:p>
        </w:tc>
        <w:tc>
          <w:tcPr/>
          <w:p>
            <w:pPr>
              <w:pStyle w:val="Compact"/>
              <w:jc w:val="left"/>
            </w:pPr>
            <w:r>
              <w:t xml:space="preserve">69,3</w:t>
            </w:r>
          </w:p>
        </w:tc>
        <w:tc>
          <w:tcPr/>
          <w:p>
            <w:pPr>
              <w:pStyle w:val="Compact"/>
              <w:jc w:val="left"/>
            </w:pPr>
            <w:r>
              <w:t xml:space="preserve">1,15</w:t>
            </w:r>
          </w:p>
        </w:tc>
      </w:tr>
      <w:tr>
        <w:tc>
          <w:tcPr/>
          <w:p>
            <w:pPr>
              <w:pStyle w:val="Compact"/>
              <w:jc w:val="left"/>
            </w:pPr>
            <w:r>
              <w:rPr>
                <w:bCs/>
                <w:b/>
              </w:rPr>
              <w:t xml:space="preserve">Kiribati²</w:t>
            </w:r>
          </w:p>
        </w:tc>
        <w:tc>
          <w:tcPr/>
          <w:p>
            <w:pPr>
              <w:pStyle w:val="Compact"/>
              <w:jc w:val="left"/>
            </w:pPr>
            <w:r>
              <w:rPr>
                <w:bCs/>
                <w:b/>
              </w:rPr>
              <w:t xml:space="preserve">KIR</w:t>
            </w:r>
          </w:p>
        </w:tc>
        <w:tc>
          <w:tcPr/>
          <w:p>
            <w:pPr>
              <w:pStyle w:val="Compact"/>
              <w:jc w:val="left"/>
            </w:pPr>
            <w:r>
              <w:rPr>
                <w:bCs/>
                <w:b/>
              </w:rPr>
              <w:t xml:space="preserve">SIDS</w:t>
            </w:r>
          </w:p>
        </w:tc>
        <w:tc>
          <w:tcPr/>
          <w:p>
            <w:pPr>
              <w:pStyle w:val="Compact"/>
              <w:jc w:val="left"/>
            </w:pPr>
            <w:r>
              <w:rPr>
                <w:bCs/>
                <w:b/>
              </w:rPr>
              <w:t xml:space="preserve">150</w:t>
            </w:r>
          </w:p>
        </w:tc>
        <w:tc>
          <w:tcPr/>
          <w:p>
            <w:pPr>
              <w:pStyle w:val="Compact"/>
              <w:jc w:val="left"/>
            </w:pPr>
            <w:r>
              <w:rPr>
                <w:bCs/>
                <w:b/>
              </w:rPr>
              <w:t xml:space="preserve">1,0</w:t>
            </w:r>
          </w:p>
        </w:tc>
        <w:tc>
          <w:tcPr/>
          <w:p>
            <w:pPr>
              <w:pStyle w:val="Compact"/>
              <w:jc w:val="left"/>
            </w:pPr>
            <w:r>
              <w:rPr>
                <w:bCs/>
                <w:b/>
              </w:rPr>
              <w:t xml:space="preserve">0,7</w:t>
            </w:r>
          </w:p>
        </w:tc>
        <w:tc>
          <w:tcPr/>
          <w:p>
            <w:pPr>
              <w:pStyle w:val="Compact"/>
              <w:jc w:val="left"/>
            </w:pPr>
            <w:r>
              <w:rPr>
                <w:bCs/>
                <w:b/>
              </w:rPr>
              <w:t xml:space="preserve">14,0</w:t>
            </w:r>
          </w:p>
        </w:tc>
        <w:tc>
          <w:tcPr/>
          <w:p>
            <w:pPr>
              <w:pStyle w:val="Compact"/>
              <w:jc w:val="left"/>
            </w:pPr>
            <w:r>
              <w:rPr>
                <w:bCs/>
                <w:b/>
              </w:rPr>
              <w:t xml:space="preserve">18,7</w:t>
            </w:r>
          </w:p>
        </w:tc>
        <w:tc>
          <w:tcPr/>
          <w:p>
            <w:pPr>
              <w:pStyle w:val="Compact"/>
              <w:jc w:val="left"/>
            </w:pPr>
            <w:r>
              <w:rPr>
                <w:bCs/>
                <w:b/>
              </w:rPr>
              <w:t xml:space="preserve">1,48</w:t>
            </w:r>
          </w:p>
        </w:tc>
      </w:tr>
      <w:tr>
        <w:tc>
          <w:tcPr/>
          <w:p>
            <w:pPr>
              <w:pStyle w:val="Compact"/>
              <w:jc w:val="left"/>
            </w:pPr>
            <w:r>
              <w:rPr>
                <w:bCs/>
                <w:b/>
              </w:rPr>
              <w:t xml:space="preserve">Tổng 2025</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16.979</w:t>
            </w:r>
          </w:p>
        </w:tc>
        <w:tc>
          <w:tcPr/>
          <w:p>
            <w:pPr>
              <w:pStyle w:val="Compact"/>
              <w:jc w:val="left"/>
            </w:pPr>
            <w:r>
              <w:rPr>
                <w:bCs/>
                <w:b/>
              </w:rPr>
              <w:t xml:space="preserve">3,8</w:t>
            </w:r>
          </w:p>
        </w:tc>
        <w:tc>
          <w:tcPr/>
          <w:p>
            <w:pPr>
              <w:pStyle w:val="Compact"/>
              <w:jc w:val="left"/>
            </w:pPr>
            <w:r>
              <w:rPr>
                <w:bCs/>
                <w:b/>
              </w:rPr>
              <w:t xml:space="preserve">2,9</w:t>
            </w:r>
          </w:p>
        </w:tc>
        <w:tc>
          <w:tcPr/>
          <w:p>
            <w:pPr>
              <w:pStyle w:val="Compact"/>
              <w:jc w:val="left"/>
            </w:pPr>
            <w:r>
              <w:rPr>
                <w:bCs/>
                <w:b/>
              </w:rPr>
              <w:t xml:space="preserve">5,4</w:t>
            </w:r>
          </w:p>
        </w:tc>
        <w:tc>
          <w:tcPr/>
          <w:p>
            <w:pPr>
              <w:pStyle w:val="Compact"/>
              <w:jc w:val="left"/>
            </w:pPr>
            <w:r>
              <w:rPr>
                <w:bCs/>
                <w:b/>
              </w:rPr>
              <w:t xml:space="preserve">44,2</w:t>
            </w:r>
          </w:p>
        </w:tc>
        <w:tc>
          <w:tcPr/>
          <w:p>
            <w:pPr>
              <w:pStyle w:val="Compact"/>
              <w:jc w:val="left"/>
            </w:pPr>
            <w:r>
              <w:rPr>
                <w:bCs/>
                <w:b/>
              </w:rPr>
              <w:t xml:space="preserve">0,90</w:t>
            </w:r>
          </w:p>
        </w:tc>
      </w:tr>
    </w:tbl>
    <w:p>
      <w:pPr>
        <w:pStyle w:val="BodyText"/>
      </w:pPr>
      <w:r>
        <w:rPr>
          <w:iCs/>
          <w:i/>
        </w:rPr>
        <w:t xml:space="preserve">Ghi chú: ¹Nepal 2025 — schema BREADY chưa thống nhất. ²Kiribati 2025: Lower Middle Income; viện trợ AUS/NZ ~30% GDP.</w:t>
      </w:r>
    </w:p>
    <w:p>
      <w:pPr>
        <w:pStyle w:val="BodyText"/>
      </w:pPr>
      <w:r>
        <w:rPr>
          <w:bCs/>
          <w:b/>
        </w:rPr>
        <w:t xml:space="preserve">Bảy phát hiện</w:t>
      </w:r>
      <w:r>
        <w:t xml:space="preserve">: (1) IND FSTS sụt 5 đpt (schema effect); (2) THA "digital up, exports down"; (3) Fiji website 74,8% &gt; Singapore (digital leapfrog); (4) Vùng Vịnh + Brunei resource-driven Advanced confirmed; (5) R&amp;D schema-induced overestimation; (6) 2025 wave validation sample CĐ2;</w:t>
      </w:r>
      <w:r>
        <w:t xml:space="preserve"> </w:t>
      </w:r>
      <w:r>
        <w:rPr>
          <w:bCs/>
          <w:b/>
        </w:rPr>
        <w:t xml:space="preserve">(7) Kiribati extreme — FSTS 1,03%, FDI 0,7%, website 18,7% — đối lập với Fiji digital leapfrog. Bằng chứng dị biệt SIDS rõ rệt: "high-digital" (FJI, MDV) vs "isolated rural" (KIR) — CĐ2 cần tách 2 phân nhóm con SIDS.</w:t>
      </w:r>
    </w:p>
    <w:p>
      <w:pPr>
        <w:pStyle w:val="BodyText"/>
      </w:pPr>
      <w:r>
        <w:rPr>
          <w:bCs/>
          <w:b/>
        </w:rPr>
        <w:t xml:space="preserve">Bảy hàm ý cho CĐ2</w:t>
      </w:r>
      <w:r>
        <w:t xml:space="preserve">: (a) 2025 validation test bed;</w:t>
      </w:r>
      <w:r>
        <w:t xml:space="preserve"> </w:t>
      </w:r>
      <w:r>
        <w:rPr>
          <w:bCs/>
          <w:b/>
        </w:rPr>
        <w:t xml:space="preserve">(b) Schema FE PostBREADY2024 enhanced với anchor model</w:t>
      </w:r>
      <w:r>
        <w:t xml:space="preserve"> </w:t>
      </w:r>
      <w:r>
        <w:rPr>
          <w:iCs/>
          <w:i/>
        </w:rPr>
        <w:t xml:space="preserve">(chi tiết §4.11 v3.7)</w:t>
      </w:r>
      <w:r>
        <w:t xml:space="preserve">; (c) Advanced sub-grouping test 11 quốc gia; (d) SIDS digital leapfrog evidence cho H6 — phân biệt</w:t>
      </w:r>
      <w:r>
        <w:t xml:space="preserve"> </w:t>
      </w:r>
      <w:r>
        <w:rPr>
          <w:bCs/>
          <w:b/>
        </w:rPr>
        <w:t xml:space="preserve">Tier-1</w:t>
      </w:r>
      <w:r>
        <w:t xml:space="preserve"> </w:t>
      </w:r>
      <w:r>
        <w:t xml:space="preserve">(website saturation, đã bão hòa) vs</w:t>
      </w:r>
      <w:r>
        <w:t xml:space="preserve"> </w:t>
      </w:r>
      <w:r>
        <w:rPr>
          <w:bCs/>
          <w:b/>
        </w:rPr>
        <w:t xml:space="preserve">Tier-2</w:t>
      </w:r>
      <w:r>
        <w:t xml:space="preserve"> </w:t>
      </w:r>
      <w:r>
        <w:t xml:space="preserve">(transformation, đang phát triển); (e) Two-wave panel cho 6 nước; (f) tách phân nhóm con SIDS — "high-digital" vs "isolated" — mở rộng 8 → 9 phân nhóm con; (g) Tách 2025 thành</w:t>
      </w:r>
      <w:r>
        <w:t xml:space="preserve"> </w:t>
      </w:r>
      <w:r>
        <w:rPr>
          <w:bCs/>
          <w:b/>
        </w:rPr>
        <w:t xml:space="preserve">"Panel hậu đại dịch độc lập"</w:t>
      </w:r>
      <w:r>
        <w:t xml:space="preserve"> </w:t>
      </w:r>
      <w:r>
        <w:rPr>
          <w:iCs/>
          <w:i/>
        </w:rPr>
        <w:t xml:space="preserve">(chi tiết §4.11 v3.7)</w:t>
      </w:r>
      <w:r>
        <w:t xml:space="preserve">.</w:t>
      </w:r>
    </w:p>
    <w:bookmarkEnd w:id="53"/>
    <w:bookmarkStart w:id="58" w:name="X3ee548cfa3fb9cd93772514558d03d29daa2344"/>
    <w:p>
      <w:pPr>
        <w:pStyle w:val="Heading3"/>
      </w:pPr>
      <w:r>
        <w:t xml:space="preserve">4.11 Cô lập đứt gãy schema BREADY 2025 — 3 đề xuất phương pháp luận</w:t>
      </w:r>
    </w:p>
    <w:p>
      <w:pPr>
        <w:pStyle w:val="FirstParagraph"/>
      </w:pPr>
      <w:r>
        <w:t xml:space="preserve">Đợt 2025 (n=16.979 firms,</w:t>
      </w:r>
      <w:r>
        <w:t xml:space="preserve"> </w:t>
      </w:r>
      <w:r>
        <w:rPr>
          <w:bCs/>
          <w:b/>
        </w:rPr>
        <w:t xml:space="preserve">16,8% pool</w:t>
      </w:r>
      <w:r>
        <w:t xml:space="preserve">) sử dụng schema mới BREADY khác bản hỏi cũ — gây cú sốc phi lý: IND FSTS rơi 7,7%→2,7% (xem §4.10), R&amp;D nhiều nước tăng vọt do</w:t>
      </w:r>
      <w:r>
        <w:t xml:space="preserve"> </w:t>
      </w:r>
      <w:r>
        <w:rPr>
          <w:bCs/>
          <w:b/>
        </w:rPr>
        <w:t xml:space="preserve">hiệu ứng bảng hỏi (questionnaire effect)</w:t>
      </w:r>
      <w:r>
        <w:t xml:space="preserve"> </w:t>
      </w:r>
      <w:r>
        <w:t xml:space="preserve">chứ không phải thực tế. Theo NotebookLM (2026,</w:t>
      </w:r>
      <w:r>
        <w:t xml:space="preserve"> </w:t>
      </w:r>
      <w:r>
        <w:rPr>
          <w:iCs/>
          <w:i/>
        </w:rPr>
        <w:t xml:space="preserve">Bẫy đo lường số hóa Châu Á</w:t>
      </w:r>
      <w:r>
        <w:t xml:space="preserve">):</w:t>
      </w:r>
      <w:r>
        <w:t xml:space="preserve"> </w:t>
      </w:r>
      <w:r>
        <w:rPr>
          <w:iCs/>
          <w:i/>
        </w:rPr>
        <w:t xml:space="preserve">"Đứt gãy schema BREADY 2025 đe dọa trực tiếp đến tính liên tục của phân tích chuỗi thời gian. Mô hình kiểm tra điểm uốn sẽ cho ra kết luận sai lệch hoàn toàn nếu không xử lý."</w:t>
      </w:r>
      <w:r>
        <w:t xml:space="preserve"> </w:t>
      </w:r>
      <w:r>
        <w:t xml:space="preserve">NCS đã có cảnh báo trong §4.10 (mục 5: R&amp;D schema-induced overestimation) nhưng cần làm sâu hơn với 3 đề xuất phương pháp luận.</w:t>
      </w:r>
    </w:p>
    <w:bookmarkStart w:id="54" w:name="X89a400c48edb7a048019b34ecd59b368db1ed89"/>
    <w:p>
      <w:pPr>
        <w:pStyle w:val="Heading4"/>
      </w:pPr>
      <w:r>
        <w:t xml:space="preserve">4.11.1 Đề xuất 3a — Biến giả</w:t>
      </w:r>
      <w:r>
        <w:t xml:space="preserve"> </w:t>
      </w:r>
      <w:r>
        <w:rPr>
          <w:rStyle w:val="VerbatimChar"/>
        </w:rPr>
        <w:t xml:space="preserve">Post_BREADY_2024</w:t>
      </w:r>
      <w:r>
        <w:t xml:space="preserve"> </w:t>
      </w:r>
      <w:r>
        <w:t xml:space="preserve">trong mọi spec tổng gộp</w:t>
      </w:r>
    </w:p>
    <w:p>
      <w:pPr>
        <w:pStyle w:val="FirstParagraph"/>
      </w:pPr>
      <w:r>
        <w:t xml:space="preserve">Khai báo biến giả</w:t>
      </w:r>
      <w:r>
        <w:t xml:space="preserve"> </w:t>
      </w:r>
      <w:r>
        <w:rPr>
          <w:rStyle w:val="VerbatimChar"/>
        </w:rPr>
        <w:t xml:space="preserve">Post_BREADY_2024</w:t>
      </w:r>
      <w:r>
        <w:t xml:space="preserve"> </w:t>
      </w:r>
      <w:r>
        <w:t xml:space="preserve">= 1 cho mọi observation thuộc đợt khảo sát 2025+ (BREADY schema), = 0 cho 2009–2024 (PICS3 + Standardized + early BREADY 2018-2024). Biến giả này:</w:t>
      </w:r>
    </w:p>
    <w:p>
      <w:pPr>
        <w:numPr>
          <w:ilvl w:val="0"/>
          <w:numId w:val="1002"/>
        </w:numPr>
        <w:pStyle w:val="Compact"/>
      </w:pPr>
      <w:r>
        <w:rPr>
          <w:bCs/>
          <w:b/>
        </w:rPr>
        <w:t xml:space="preserve">Hấp thụ schema effect tĩnh</w:t>
      </w:r>
      <w:r>
        <w:t xml:space="preserve">: lấy out mức trung bình của các thay đổi đo lường giữa 2 generation bảng hỏi (e.g., IND FSTS 7,7%→2,7% có thể một phần do BREADY questions hỏi rõ hơn về "doanh thu xuất khẩu trực tiếp" vs PICS3 hỏi tổng quát hơn).</w:t>
      </w:r>
    </w:p>
    <w:p>
      <w:pPr>
        <w:numPr>
          <w:ilvl w:val="0"/>
          <w:numId w:val="1002"/>
        </w:numPr>
        <w:pStyle w:val="Compact"/>
      </w:pPr>
      <w:r>
        <w:rPr>
          <w:bCs/>
          <w:b/>
        </w:rPr>
        <w:t xml:space="preserve">Cảnh báo từ NotebookLM</w:t>
      </w:r>
      <w:r>
        <w:t xml:space="preserve">:</w:t>
      </w:r>
      <w:r>
        <w:t xml:space="preserve"> </w:t>
      </w:r>
      <w:r>
        <w:rPr>
          <w:iCs/>
          <w:i/>
        </w:rPr>
        <w:t xml:space="preserve">"Biến giả đâu phải cây đũa thần. Nó chỉ như miếng bọt biển hút tác động tĩnh, không sửa được phương sai."</w:t>
      </w:r>
      <w:r>
        <w:t xml:space="preserve"> </w:t>
      </w:r>
      <w:r>
        <w:t xml:space="preserve">Vì vậy cần đi cùng đề xuất 3b (anchor model) để kiểm tra robustness.</w:t>
      </w:r>
    </w:p>
    <w:p>
      <w:pPr>
        <w:numPr>
          <w:ilvl w:val="0"/>
          <w:numId w:val="1002"/>
        </w:numPr>
        <w:pStyle w:val="Compact"/>
      </w:pPr>
      <w:r>
        <w:rPr>
          <w:bCs/>
          <w:b/>
        </w:rPr>
        <w:t xml:space="preserve">Triển khai</w:t>
      </w:r>
      <w:r>
        <w:t xml:space="preserve">: thêm</w:t>
      </w:r>
      <w:r>
        <w:t xml:space="preserve"> </w:t>
      </w:r>
      <w:r>
        <w:rPr>
          <w:rStyle w:val="VerbatimChar"/>
        </w:rPr>
        <w:t xml:space="preserve">Post_BREADY_2024</w:t>
      </w:r>
      <w:r>
        <w:t xml:space="preserve"> </w:t>
      </w:r>
      <w:r>
        <w:t xml:space="preserve">vào Spec 1 (full pool, 101.185 firms) và Spec 2 (2018-2025, ~50.000 firms) cho CĐ2.</w:t>
      </w:r>
    </w:p>
    <w:bookmarkEnd w:id="54"/>
    <w:bookmarkStart w:id="55" w:name="X8cc0e76babbea10c6d363d660f0bb9305a8e514"/>
    <w:p>
      <w:pPr>
        <w:pStyle w:val="Heading4"/>
      </w:pPr>
      <w:r>
        <w:t xml:space="preserve">4.11.2 Đề xuất 3b — Mô hình neo (anchor model)</w:t>
      </w:r>
    </w:p>
    <w:p>
      <w:pPr>
        <w:pStyle w:val="FirstParagraph"/>
      </w:pPr>
      <w:r>
        <w:t xml:space="preserve">Quy trình 3 bước:</w:t>
      </w:r>
    </w:p>
    <w:p>
      <w:pPr>
        <w:pStyle w:val="BodyText"/>
      </w:pPr>
      <w:r>
        <w:t xml:space="preserve">(i) Chạy hồi quy với data chỉ đến 2024 (n≈84.000 firms, 13 đợt khảo sát 2009-2024) → có</w:t>
      </w:r>
      <w:r>
        <w:t xml:space="preserve"> </w:t>
      </w:r>
      <w:r>
        <w:rPr>
          <w:bCs/>
          <w:b/>
        </w:rPr>
        <w:t xml:space="preserve">bộ hệ số "neo"</w:t>
      </w:r>
      <w:r>
        <w:t xml:space="preserve"> </w:t>
      </w:r>
      <w:r>
        <w:t xml:space="preserve">(anchor coefficients) cho FSTS, FSTS², TCI, DAI và các tương tác.</w:t>
      </w:r>
    </w:p>
    <w:p>
      <w:pPr>
        <w:pStyle w:val="BodyText"/>
      </w:pPr>
      <w:r>
        <w:t xml:space="preserve">(ii)</w:t>
      </w:r>
      <w:r>
        <w:t xml:space="preserve"> </w:t>
      </w:r>
      <w:r>
        <w:rPr>
          <w:bCs/>
          <w:b/>
        </w:rPr>
        <w:t xml:space="preserve">Khóa hệ số</w:t>
      </w:r>
      <w:r>
        <w:t xml:space="preserve"> </w:t>
      </w:r>
      <w:r>
        <w:t xml:space="preserve">từ bước (i). Trong R:</w:t>
      </w:r>
      <w:r>
        <w:t xml:space="preserve"> </w:t>
      </w:r>
      <w:r>
        <w:rPr>
          <w:rStyle w:val="VerbatimChar"/>
        </w:rPr>
        <w:t xml:space="preserve">glmer(... offset = X1 * beta1_anchor + X2 * beta2_anchor, data=full_pool_with_2025)</w:t>
      </w:r>
      <w:r>
        <w:t xml:space="preserve">.</w:t>
      </w:r>
    </w:p>
    <w:p>
      <w:pPr>
        <w:pStyle w:val="BodyText"/>
      </w:pPr>
      <w:r>
        <w:t xml:space="preserve">(iii) Re-run hồi quy với data đầy đủ 2009-2025 (n=101.185), so sánh:</w:t>
      </w:r>
    </w:p>
    <w:p>
      <w:pPr>
        <w:numPr>
          <w:ilvl w:val="0"/>
          <w:numId w:val="1003"/>
        </w:numPr>
        <w:pStyle w:val="Compact"/>
      </w:pPr>
      <w:r>
        <w:t xml:space="preserve">Coefficient stability test (Wald test, Chow test): hệ số FSTS, FSTS², TCI, DAI có thay đổi significantly khi thêm 2025 không?</w:t>
      </w:r>
    </w:p>
    <w:p>
      <w:pPr>
        <w:numPr>
          <w:ilvl w:val="0"/>
          <w:numId w:val="1003"/>
        </w:numPr>
        <w:pStyle w:val="Compact"/>
      </w:pPr>
      <w:r>
        <w:t xml:space="preserve">Likelihood ratio test giữa 2 mô hình: Δ AIC, Δ BIC.</w:t>
      </w:r>
    </w:p>
    <w:p>
      <w:pPr>
        <w:numPr>
          <w:ilvl w:val="0"/>
          <w:numId w:val="1003"/>
        </w:numPr>
        <w:pStyle w:val="Compact"/>
      </w:pPr>
      <w:r>
        <w:t xml:space="preserve">Coefficient ratio test: nếu</w:t>
      </w:r>
      <w:r>
        <w:t xml:space="preserve"> </w:t>
      </w:r>
      <w:r>
        <w:rPr>
          <w:rStyle w:val="VerbatimChar"/>
        </w:rPr>
        <w:t xml:space="preserve">beta_2025 / beta_anchor &gt; 1.5x</w:t>
      </w:r>
      <w:r>
        <w:t xml:space="preserve"> </w:t>
      </w:r>
      <w:r>
        <w:t xml:space="preserve">hoặc</w:t>
      </w:r>
      <w:r>
        <w:t xml:space="preserve"> </w:t>
      </w:r>
      <w:r>
        <w:rPr>
          <w:rStyle w:val="VerbatimChar"/>
        </w:rPr>
        <w:t xml:space="preserve">&lt; 0.67x</w:t>
      </w:r>
      <w:r>
        <w:t xml:space="preserve"> </w:t>
      </w:r>
      <w:r>
        <w:t xml:space="preserve">→ schema effect significant.</w:t>
      </w:r>
    </w:p>
    <w:p>
      <w:pPr>
        <w:pStyle w:val="FirstParagraph"/>
      </w:pPr>
      <w:r>
        <w:rPr>
          <w:bCs/>
          <w:b/>
        </w:rPr>
        <w:t xml:space="preserve">Mục đích</w:t>
      </w:r>
      <w:r>
        <w:t xml:space="preserve">: kiểm tra "cấu trúc bảng hỏi mới có làm đảo chiều ý nghĩa thống kê cốt lõi hay không". Đây là</w:t>
      </w:r>
      <w:r>
        <w:t xml:space="preserve"> </w:t>
      </w:r>
      <w:r>
        <w:rPr>
          <w:bCs/>
          <w:b/>
        </w:rPr>
        <w:t xml:space="preserve">robustness check thứ 6 cho CĐ2</w:t>
      </w:r>
      <w:r>
        <w:t xml:space="preserve"> </w:t>
      </w:r>
      <w:r>
        <w:t xml:space="preserve">(sau Manufacturing-only, ICT-excluded, Tourism-separated SIDS, Construction-tested Gulf, Mining-excluded resource).</w:t>
      </w:r>
    </w:p>
    <w:bookmarkEnd w:id="55"/>
    <w:bookmarkStart w:id="56" w:name="Xab69fcb55f0effc3845a43884fac9132a0be221"/>
    <w:p>
      <w:pPr>
        <w:pStyle w:val="Heading4"/>
      </w:pPr>
      <w:r>
        <w:t xml:space="preserve">4.11.3 Đề xuất 3c — Tách 2025 thành "Panel hậu đại dịch độc lập"</w:t>
      </w:r>
    </w:p>
    <w:p>
      <w:pPr>
        <w:pStyle w:val="FirstParagraph"/>
      </w:pPr>
      <w:r>
        <w:t xml:space="preserve">Thay vì cố ép 2025 vào đường xu hướng lịch sử, dành riêng một sub-section trong CĐ2 (đề xuất §X.Y trong §6 mô hình) để xử lý 2025 như</w:t>
      </w:r>
      <w:r>
        <w:t xml:space="preserve"> </w:t>
      </w:r>
      <w:r>
        <w:rPr>
          <w:bCs/>
          <w:b/>
        </w:rPr>
        <w:t xml:space="preserve">tập mẫu xác thực cho kỷ nguyên hậu COVID + AI</w:t>
      </w:r>
      <w:r>
        <w:t xml:space="preserve">. Câu hỏi nghiên cứu mới:</w:t>
      </w:r>
      <w:r>
        <w:t xml:space="preserve"> </w:t>
      </w:r>
      <w:r>
        <w:rPr>
          <w:iCs/>
          <w:i/>
        </w:rPr>
        <w:t xml:space="preserve">"Quy luật thể chế và U-curve giai đoạn 2009-2024 có còn hiệu lực trong 'trạng thái bình thường mới' (new normal) hậu COVID + AI bùng nổ?"</w:t>
      </w:r>
    </w:p>
    <w:p>
      <w:pPr>
        <w:pStyle w:val="BodyText"/>
      </w:pPr>
      <w:r>
        <w:t xml:space="preserve">Tiến trình:</w:t>
      </w:r>
    </w:p>
    <w:p>
      <w:pPr>
        <w:numPr>
          <w:ilvl w:val="0"/>
          <w:numId w:val="1004"/>
        </w:numPr>
        <w:pStyle w:val="Compact"/>
      </w:pPr>
      <w:r>
        <w:rPr>
          <w:bCs/>
          <w:b/>
        </w:rPr>
        <w:t xml:space="preserve">Bước 1</w:t>
      </w:r>
      <w:r>
        <w:t xml:space="preserve">: Chạy mô hình chính trên data 2009-2024 — báo cáo H1-H6 + H7 + Lin-Mehlum tests.</w:t>
      </w:r>
    </w:p>
    <w:p>
      <w:pPr>
        <w:numPr>
          <w:ilvl w:val="0"/>
          <w:numId w:val="1004"/>
        </w:numPr>
        <w:pStyle w:val="Compact"/>
      </w:pPr>
      <w:r>
        <w:rPr>
          <w:bCs/>
          <w:b/>
        </w:rPr>
        <w:t xml:space="preserve">Bước 2</w:t>
      </w:r>
      <w:r>
        <w:t xml:space="preserve">: Test cùng mô hình trên data 2025 only (n=16.979) như</w:t>
      </w:r>
      <w:r>
        <w:t xml:space="preserve"> </w:t>
      </w:r>
      <w:r>
        <w:rPr>
          <w:bCs/>
          <w:b/>
        </w:rPr>
        <w:t xml:space="preserve">out-of-sample validation panel</w:t>
      </w:r>
      <w:r>
        <w:t xml:space="preserve">. Ghi rõ "post-pandemic + AI era panel" (post-COVID 2020-2022 + AI surge 2023-2025).</w:t>
      </w:r>
    </w:p>
    <w:p>
      <w:pPr>
        <w:numPr>
          <w:ilvl w:val="0"/>
          <w:numId w:val="1004"/>
        </w:numPr>
        <w:pStyle w:val="Compact"/>
      </w:pPr>
      <w:r>
        <w:rPr>
          <w:bCs/>
          <w:b/>
        </w:rPr>
        <w:t xml:space="preserve">Bước 3</w:t>
      </w:r>
      <w:r>
        <w:t xml:space="preserve">: Báo cáo:</w:t>
      </w:r>
    </w:p>
    <w:p>
      <w:pPr>
        <w:numPr>
          <w:ilvl w:val="1"/>
          <w:numId w:val="1005"/>
        </w:numPr>
        <w:pStyle w:val="Compact"/>
      </w:pPr>
      <w:r>
        <w:t xml:space="preserve">Hệ số nào giữ stability (validation passed)</w:t>
      </w:r>
    </w:p>
    <w:p>
      <w:pPr>
        <w:numPr>
          <w:ilvl w:val="1"/>
          <w:numId w:val="1005"/>
        </w:numPr>
        <w:pStyle w:val="Compact"/>
      </w:pPr>
      <w:r>
        <w:t xml:space="preserve">Hệ số nào thay đổi (validation failed → discuss as evidence của paradigm shift hậu COVID + AI)</w:t>
      </w:r>
    </w:p>
    <w:p>
      <w:pPr>
        <w:numPr>
          <w:ilvl w:val="1"/>
          <w:numId w:val="1005"/>
        </w:numPr>
        <w:pStyle w:val="Compact"/>
      </w:pPr>
      <w:r>
        <w:t xml:space="preserve">Effect size differences và policy implications.</w:t>
      </w:r>
    </w:p>
    <w:p>
      <w:pPr>
        <w:pStyle w:val="FirstParagraph"/>
      </w:pPr>
      <w:r>
        <w:rPr>
          <w:bCs/>
          <w:b/>
        </w:rPr>
        <w:t xml:space="preserve">Như NotebookLM nhận xét</w:t>
      </w:r>
      <w:r>
        <w:t xml:space="preserve">:</w:t>
      </w:r>
      <w:r>
        <w:t xml:space="preserve"> </w:t>
      </w:r>
      <w:r>
        <w:rPr>
          <w:iCs/>
          <w:i/>
        </w:rPr>
        <w:t xml:space="preserve">"Biến rủi ro dữ liệu thành chương phân tích hướng tới tương lai cực kỳ giá trị."</w:t>
      </w:r>
    </w:p>
    <w:bookmarkEnd w:id="56"/>
    <w:bookmarkStart w:id="57" w:name="X4d66f53d7d10335ba04975d38364e940e33b415"/>
    <w:p>
      <w:pPr>
        <w:pStyle w:val="Heading4"/>
      </w:pPr>
      <w:r>
        <w:t xml:space="preserve">4.11.4 Liên kết với §6 (yếu tố giải thích) và §7.3 (hàm ý CĐ2)</w:t>
      </w:r>
    </w:p>
    <w:p>
      <w:pPr>
        <w:pStyle w:val="FirstParagraph"/>
      </w:pPr>
      <w:r>
        <w:t xml:space="preserve">3 đề xuất 3a-3b-3c kết hợp tạo thành</w:t>
      </w:r>
      <w:r>
        <w:t xml:space="preserve"> </w:t>
      </w:r>
      <w:r>
        <w:rPr>
          <w:bCs/>
          <w:b/>
        </w:rPr>
        <w:t xml:space="preserve">hệ thống cô lập triple-defense</w:t>
      </w:r>
      <w:r>
        <w:t xml:space="preserve"> </w:t>
      </w:r>
      <w:r>
        <w:t xml:space="preserve">chống đứt gãy schema 2025:</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Đề xuất</w:t>
            </w:r>
          </w:p>
        </w:tc>
        <w:tc>
          <w:tcPr/>
          <w:p>
            <w:pPr>
              <w:pStyle w:val="Compact"/>
              <w:jc w:val="left"/>
            </w:pPr>
            <w:r>
              <w:t xml:space="preserve">Tác dụng</w:t>
            </w:r>
          </w:p>
        </w:tc>
        <w:tc>
          <w:tcPr/>
          <w:p>
            <w:pPr>
              <w:pStyle w:val="Compact"/>
              <w:jc w:val="left"/>
            </w:pPr>
            <w:r>
              <w:t xml:space="preserve">Robustness check #</w:t>
            </w:r>
          </w:p>
        </w:tc>
        <w:tc>
          <w:tcPr/>
          <w:p>
            <w:pPr>
              <w:pStyle w:val="Compact"/>
              <w:jc w:val="left"/>
            </w:pPr>
            <w:r>
              <w:t xml:space="preserve">Liên kết</w:t>
            </w:r>
          </w:p>
        </w:tc>
      </w:tr>
      <w:tr>
        <w:tc>
          <w:tcPr/>
          <w:p>
            <w:pPr>
              <w:pStyle w:val="Compact"/>
              <w:jc w:val="left"/>
            </w:pPr>
            <w:r>
              <w:t xml:space="preserve">3a Biến giả Post_BREADY_2024</w:t>
            </w:r>
          </w:p>
        </w:tc>
        <w:tc>
          <w:tcPr/>
          <w:p>
            <w:pPr>
              <w:pStyle w:val="Compact"/>
              <w:jc w:val="left"/>
            </w:pPr>
            <w:r>
              <w:t xml:space="preserve">Hấp thụ schema effect tĩnh</w:t>
            </w:r>
          </w:p>
        </w:tc>
        <w:tc>
          <w:tcPr/>
          <w:p>
            <w:pPr>
              <w:pStyle w:val="Compact"/>
              <w:jc w:val="left"/>
            </w:pPr>
            <w:r>
              <w:t xml:space="preserve">(parametric correction)</w:t>
            </w:r>
          </w:p>
        </w:tc>
        <w:tc>
          <w:tcPr/>
          <w:p>
            <w:pPr>
              <w:pStyle w:val="Compact"/>
              <w:jc w:val="left"/>
            </w:pPr>
            <w:r>
              <w:t xml:space="preserve">Spec 1 + Spec 2</w:t>
            </w:r>
          </w:p>
        </w:tc>
      </w:tr>
      <w:tr>
        <w:tc>
          <w:tcPr/>
          <w:p>
            <w:pPr>
              <w:pStyle w:val="Compact"/>
              <w:jc w:val="left"/>
            </w:pPr>
            <w:r>
              <w:t xml:space="preserve">3b Anchor model</w:t>
            </w:r>
          </w:p>
        </w:tc>
        <w:tc>
          <w:tcPr/>
          <w:p>
            <w:pPr>
              <w:pStyle w:val="Compact"/>
              <w:jc w:val="left"/>
            </w:pPr>
            <w:r>
              <w:t xml:space="preserve">Test stability hệ số</w:t>
            </w:r>
          </w:p>
        </w:tc>
        <w:tc>
          <w:tcPr/>
          <w:p>
            <w:pPr>
              <w:pStyle w:val="Compact"/>
              <w:jc w:val="left"/>
            </w:pPr>
            <w:r>
              <w:t xml:space="preserve">#6 (sau Mfg/ICT/Tourism/Gulf/Mining)</w:t>
            </w:r>
          </w:p>
        </w:tc>
        <w:tc>
          <w:tcPr/>
          <w:p>
            <w:pPr>
              <w:pStyle w:val="Compact"/>
              <w:jc w:val="left"/>
            </w:pPr>
            <w:r>
              <w:t xml:space="preserve">CĐ2 robustness section</w:t>
            </w:r>
          </w:p>
        </w:tc>
      </w:tr>
      <w:tr>
        <w:tc>
          <w:tcPr/>
          <w:p>
            <w:pPr>
              <w:pStyle w:val="Compact"/>
              <w:jc w:val="left"/>
            </w:pPr>
            <w:r>
              <w:t xml:space="preserve">3c Panel hậu đại dịch độc lập</w:t>
            </w:r>
          </w:p>
        </w:tc>
        <w:tc>
          <w:tcPr/>
          <w:p>
            <w:pPr>
              <w:pStyle w:val="Compact"/>
              <w:jc w:val="left"/>
            </w:pPr>
            <w:r>
              <w:t xml:space="preserve">Out-of-sample validation hậu COVID+AI</w:t>
            </w:r>
          </w:p>
        </w:tc>
        <w:tc>
          <w:tcPr/>
          <w:p>
            <w:pPr>
              <w:pStyle w:val="Compact"/>
              <w:jc w:val="left"/>
            </w:pPr>
            <w:r>
              <w:t xml:space="preserve">#7 panel test</w:t>
            </w:r>
          </w:p>
        </w:tc>
        <w:tc>
          <w:tcPr/>
          <w:p>
            <w:pPr>
              <w:pStyle w:val="Compact"/>
              <w:jc w:val="left"/>
            </w:pPr>
            <w:r>
              <w:t xml:space="preserve">CĐ2 §X.Y dedicated section</w:t>
            </w:r>
          </w:p>
        </w:tc>
      </w:tr>
    </w:tbl>
    <w:p>
      <w:pPr>
        <w:pStyle w:val="BodyText"/>
      </w:pPr>
      <w:r>
        <w:t xml:space="preserve">Cả 3 đều là tiền đề cho file 16 §7.3.4 hàm ý cho CĐ2 — robustness check section.</w:t>
      </w:r>
    </w:p>
    <w:p>
      <w:r>
        <w:pict>
          <v:rect style="width:0;height:1.5pt" o:hralign="center" o:hrstd="t" o:hr="t"/>
        </w:pict>
      </w:r>
    </w:p>
    <w:bookmarkEnd w:id="57"/>
    <w:bookmarkEnd w:id="58"/>
    <w:bookmarkEnd w:id="59"/>
    <w:bookmarkEnd w:id="60"/>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360"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360"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360"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360"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360"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360" w:lineRule="auto"/>
      <w:jc w:val="both"/>
    </w:pPr>
    <w:rPr>
      <w:rFonts w:ascii="Times New Roman" w:eastAsia="Times New Roman" w:hAnsi="Times New Roman"/>
      <w:color w:val="000000"/>
      <w:sz w:val="26"/>
    </w:rPr>
  </w:style>
  <w:style w:styleId="Date" w:type="paragraph">
    <w:name w:val="Date"/>
    <w:next w:val="BodyText"/>
    <w:qFormat/>
    <w:pPr>
      <w:keepNext/>
      <w:keepLines/>
      <w:spacing w:line="360"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360"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360"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360"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360" w:lineRule="auto"/>
      <w:jc w:val="both"/>
      <w:outlineLvl w:val="0"/>
    </w:pPr>
    <w:rPr>
      <w:rFonts w:ascii="Times New Roman" w:asciiTheme="majorHAnsi" w:cstheme="majorBidi" w:eastAsia="Times New Roman"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0" w:before="200" w:line="360"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360"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360"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360"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360"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360"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360"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360"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360"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360"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360"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360" w:lineRule="auto"/>
      <w:jc w:val="both"/>
    </w:pPr>
    <w:rPr>
      <w:rFonts w:ascii="Times New Roman" w:eastAsia="Times New Roman" w:hAnsi="Times New Roman"/>
      <w:b/>
      <w:color w:val="000000"/>
      <w:sz w:val="26"/>
    </w:rPr>
  </w:style>
  <w:style w:customStyle="1" w:styleId="Definition" w:type="paragraph">
    <w:name w:val="Definition"/>
    <w:basedOn w:val="Normal"/>
    <w:pPr>
      <w:spacing w:line="360"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360"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360" w:lineRule="auto"/>
      <w:jc w:val="both"/>
    </w:pPr>
    <w:rPr>
      <w:rFonts w:ascii="Times New Roman" w:eastAsia="Times New Roman" w:hAnsi="Times New Roman"/>
      <w:color w:val="000000"/>
      <w:sz w:val="26"/>
    </w:rPr>
  </w:style>
  <w:style w:customStyle="1" w:styleId="ImageCaption" w:type="paragraph">
    <w:name w:val="Image Caption"/>
    <w:basedOn w:val="Caption"/>
    <w:pPr>
      <w:spacing w:line="360" w:lineRule="auto"/>
      <w:jc w:val="both"/>
    </w:pPr>
    <w:rPr>
      <w:rFonts w:ascii="Times New Roman" w:eastAsia="Times New Roman" w:hAnsi="Times New Roman"/>
      <w:color w:val="000000"/>
      <w:sz w:val="26"/>
    </w:rPr>
  </w:style>
  <w:style w:customStyle="1" w:styleId="Figure" w:type="paragraph">
    <w:name w:val="Figure"/>
    <w:basedOn w:val="Normal"/>
    <w:pPr>
      <w:spacing w:line="360"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360"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360"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0" Target="media/rId20.png" /><Relationship Type="http://schemas.openxmlformats.org/officeDocument/2006/relationships/image" Id="rId27" Target="media/rId27.png" /><Relationship Type="http://schemas.openxmlformats.org/officeDocument/2006/relationships/image" Id="rId42" Target="media/rId42.png" /><Relationship Type="http://schemas.openxmlformats.org/officeDocument/2006/relationships/image" Id="rId36" Target="media/rId36.png" /><Relationship Type="http://schemas.openxmlformats.org/officeDocument/2006/relationships/image" Id="rId45" Target="media/rId4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2026-05-24T22:09:49Z</dcterms:created>
  <dcterms:modified xsi:type="dcterms:W3CDTF">2026-05-24T22:09:49Z</dcterms:modified>
</cp:coreProperties>
</file>

<file path=docProps/custom.xml><?xml version="1.0" encoding="utf-8"?>
<Properties xmlns="http://schemas.openxmlformats.org/officeDocument/2006/custom-properties" xmlns:vt="http://schemas.openxmlformats.org/officeDocument/2006/docPropsVTypes"/>
</file>