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logic đi từ bằng chứng tổng hợp ở cấp vĩ mô (meta-analytic) đến bằng chứng quốc gia cụ thể và cuối cùng là kiểm định toàn mẫu đa quốc gia. Cấu trúc trình bày gồm sáu phần chính, tương ứng với sáu nhóm phân tích chính của luận án: (i) kết quả meta-analysis ba tầng (P6); (ii) bối cảnh thể chế tiên tiến—đổi mới tại Singapore (P4); (iii) bối cảnh thể chế trung bình cao tại Trung Quốc (P5); (iv) bối cảnh chuyển đổi bậc thấp—trung tại Việt Nam (P3); (v) kiểm định toàn mẫu châu Á đa bối cảnh (P7); và (vi) trường hợp biên là các nền kinh tế đảo nhỏ đang phát triển ở Thái Bình Dương (P8). Tất cả con số thống kê được trích từ bản thảo đang chuẩn bị (Đỗ &amp; Phan, 2026, bản thảo đang chuẩn bị) và không được phép tự ý điều chỉnh.</w:t>
      </w:r>
    </w:p>
    <w:p>
      <w:r>
        <w:pict>
          <v:rect style="width:0;height:1.5pt" o:hralign="center" o:hrstd="t" o:hr="t"/>
        </w:pict>
      </w:r>
    </w:p>
    <w:bookmarkEnd w:id="20"/>
    <w:bookmarkStart w:id="25" w:name="X94937597561f43606547c220f85caafe34980e6"/>
    <w:p>
      <w:pPr>
        <w:pStyle w:val="Heading2"/>
      </w:pPr>
      <w:r>
        <w:t xml:space="preserve">4.1 Kết quả tổng hợp định lượng — Meta-analysis ba tầng (P6)</w:t>
      </w:r>
    </w:p>
    <w:bookmarkStart w:id="21" w:name="Xd031f51f753498dbe6cafd5fc586674dbcf6cc0"/>
    <w:p>
      <w:pPr>
        <w:pStyle w:val="Heading3"/>
      </w:pPr>
      <w:r>
        <w:t xml:space="preserve">4.1.1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1"/>
    <w:bookmarkStart w:id="22" w:name="X249d4dd148d58674d2455c4660ffbc2a184c5d1"/>
    <w:p>
      <w:pPr>
        <w:pStyle w:val="Heading3"/>
      </w:pPr>
      <w:r>
        <w:t xml:space="preserve">4.1.2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2"/>
    <w:bookmarkStart w:id="23" w:name="X1b5e7430c159cd86fc68a74f4d181bb069e3c7e"/>
    <w:p>
      <w:pPr>
        <w:pStyle w:val="Heading3"/>
      </w:pPr>
      <w:r>
        <w:t xml:space="preserve">4.1.3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3"/>
    <w:bookmarkStart w:id="24" w:name="X6c5deb1d61b597d94fea6a9d5467893d4081d11"/>
    <w:p>
      <w:pPr>
        <w:pStyle w:val="Heading3"/>
      </w:pPr>
      <w:r>
        <w:t xml:space="preserve">4.1.4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eacdefc5b82dce0a7e96c44195ed4509581c200"/>
    <w:p>
      <w:pPr>
        <w:pStyle w:val="Heading2"/>
      </w:pPr>
      <w:r>
        <w:t xml:space="preserve">4.2 Kết quả bối cảnh thể chế tiên tiến — Đổi mới: Singapore (P4)</w:t>
      </w:r>
    </w:p>
    <w:bookmarkStart w:id="26" w:name="Xda25c8021890fd56b2a556c5d0c8da9469b87e5"/>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 Điều này nhất quán với lợi thế thể chế đặc thù của Singapore: nền kinh tế mở, hệ thống pháp lý mạnh, cơ sở hạ tầng thương mại hàng đầu thế giới, và mạng lưới thỏa thuận thương mại tự do rộng khắp cho phép giảm chi phí giao dịch xuyên biên giới.</w:t>
      </w:r>
    </w:p>
    <w:bookmarkEnd w:id="26"/>
    <w:bookmarkStart w:id="27" w:name="X86a529485cdbcaa7517ee410d8d7cfe4636a1c0"/>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p>
      <w:pPr>
        <w:pStyle w:val="BodyText"/>
      </w:pPr>
      <w:r>
        <w:t xml:space="preserve">Kết quả này có ý nghĩa lý thuyết quan trọng: ở bối cảnh Advanced Innovation (Nhóm I), nơi cơ sở hạ tầng số đã phát triển đầy đủ, DAI phát huy vai trò điều tiết đáng kể trong quá trình quốc tế hóa. Kết quả P7 (49 nền kinh tế) sau đó xác nhận DAI có level effect phổ quát (β=+0,155***) và cơ chế "digital shield" — DAI×ICRV p=.012, mạnh nhất tại các bối cảnh thể chế yếu (Frontier/SIDS), không chỉ Advanced.</w:t>
      </w:r>
    </w:p>
    <w:bookmarkEnd w:id="27"/>
    <w:bookmarkStart w:id="28" w:name="Xbcac39ed7d72f54219e0a2446248eea6d1a660c"/>
    <w:p>
      <w:pPr>
        <w:pStyle w:val="Heading3"/>
      </w:pPr>
      <w:r>
        <w:t xml:space="preserve">4.2.3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Điều này có nghĩa là ngay cả khi hiệu ứng thực sự tồn tại, khả năng phát hiện nó với mẫu nhỏ như vậy rất hạn chế.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28"/>
    <w:bookmarkEnd w:id="29"/>
    <w:bookmarkStart w:id="33" w:name="Xc2b143d4aef099126e1356c1323f37e08d3ab3f"/>
    <w:p>
      <w:pPr>
        <w:pStyle w:val="Heading2"/>
      </w:pPr>
      <w:r>
        <w:t xml:space="preserve">4.3 Kết quả bối cảnh thể chế trung bình cao: Trung Quốc, 2012–2024 (P5)</w:t>
      </w:r>
    </w:p>
    <w:bookmarkStart w:id="30" w:name="X273c0712ac0fc836e0ec9604b8678a3ab65ab8e"/>
    <w:p>
      <w:pPr>
        <w:pStyle w:val="Heading3"/>
      </w:pPr>
      <w:r>
        <w:t xml:space="preserve">4.3.1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bối cảnh nền kinh tế nội địa khổng lồ của Trung Quốc cũng cung cấp cơ hội tăng trưởng song song.</w:t>
      </w:r>
    </w:p>
    <w:bookmarkEnd w:id="30"/>
    <w:bookmarkStart w:id="31" w:name="X91c5789c1db8c4d2b037a8ed3d356867aa44728"/>
    <w:p>
      <w:pPr>
        <w:pStyle w:val="Heading3"/>
      </w:pPr>
      <w:r>
        <w:t xml:space="preserve">4.3.2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w:t>
      </w:r>
    </w:p>
    <w:p>
      <w:pPr>
        <w:pStyle w:val="BodyText"/>
      </w:pPr>
      <w:r>
        <w:t xml:space="preserve">Phát hiện này trái ngược với H6 trong khung lý thuyết (temporal heterogeneity), nhưng lại có giá trị lý thuyết riêng: nó cho thấy rằng trong bối cảnh Upper-middle như Trung Quốc, tuy có nhiều biến động về chính sách và môi trường kinh doanh, cơ chế căn bản của quan hệ I→P vẫn duy trì tính ổn định đáng kể. Điều này có thể phản ánh sự bù trừ giữa các lực lượng: chi phí thích ứng tăng lên do chính sách thương mại khó đoán có thể được bù đắp bởi năng lực tổ chức ngày càng trưởng thành của các doanh nghiệp xuất khẩu Trung Quốc.</w:t>
      </w:r>
    </w:p>
    <w:bookmarkEnd w:id="31"/>
    <w:bookmarkStart w:id="32" w:name="Xf4c58dd74d18f0c94fb70938746fcab2bcc680b"/>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2"/>
    <w:bookmarkEnd w:id="33"/>
    <w:bookmarkStart w:id="38" w:name="X4112adf63c0c5d0129994928f00251aa7b7359c"/>
    <w:p>
      <w:pPr>
        <w:pStyle w:val="Heading2"/>
      </w:pPr>
      <w:r>
        <w:t xml:space="preserve">4.4 Kết quả bối cảnh chuyển đổi bậc thấp—trung: Việt Nam (P3)</w:t>
      </w:r>
    </w:p>
    <w:bookmarkStart w:id="34" w:name="X5d87cdb499de6203259c1e8eff13947f35772a8"/>
    <w:p>
      <w:pPr>
        <w:pStyle w:val="Heading3"/>
      </w:pPr>
      <w:r>
        <w:t xml:space="preserve">4.4.1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4"/>
    <w:bookmarkStart w:id="35" w:name="X2727d61a40bd80d560461f50cdc721a390ffad2"/>
    <w:p>
      <w:pPr>
        <w:pStyle w:val="Heading3"/>
      </w:pPr>
      <w:r>
        <w:t xml:space="preserve">4.4.2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Điều này phản ánh chi phí quốc tế hóa cao hơn trong bối cảnh thể chế chuyển đổi: môi trường thể chế chưa hoàn thiện, khoảng cách pháp lý và rào cản thông tin lớn hơn khiến điểm turning point dịch trái (thấp hơn) trên trục FSTS.</w:t>
      </w:r>
    </w:p>
    <w:p>
      <w:pPr>
        <w:pStyle w:val="BodyText"/>
      </w:pPr>
      <w:r>
        <w:t xml:space="preserve">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 Điều này có thể phản ánh sự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Xd9cda3e330433fda7875e786e5594a490be6989"/>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Nói cách khác, doanh nghiệp Việt Nam có năng lực công nghệ tốt hơn (đo bằng TCI) đạt hiệu quả cao hơn từ quá trình quốc tế hóa — nhất quán với H2 trong khung lý thuyết CDCM.</w:t>
      </w:r>
    </w:p>
    <w:bookmarkEnd w:id="36"/>
    <w:bookmarkStart w:id="37" w:name="Xaf21f65b6a144c5de09c82b1caee2ca2acd1643"/>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không nhất thiết là bác bỏ H3, mà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37"/>
    <w:bookmarkEnd w:id="38"/>
    <w:bookmarkStart w:id="42" w:name="Xf0c9d964765e7fcecebb3e563eda8ebaaf5526d"/>
    <w:p>
      <w:pPr>
        <w:pStyle w:val="Heading2"/>
      </w:pPr>
      <w:r>
        <w:t xml:space="preserve">4.5 Kết quả kiểm định toàn mẫu đa bối cảnh châu Á (P7)</w:t>
      </w:r>
    </w:p>
    <w:bookmarkStart w:id="39" w:name="Xe92da71a69b2d6e7758f9289fda0742bd2234e3"/>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Khi bổ sung đầy đủ biến kiểm soát, mẫu hồi quy là</w:t>
      </w:r>
      <w:r>
        <w:t xml:space="preserve"> </w:t>
      </w:r>
      <m:oMath>
        <m:r>
          <m:t>N</m:t>
        </m:r>
        <m:r>
          <m:rPr>
            <m:sty m:val="p"/>
          </m:rPr>
          <m:t>=</m:t>
        </m:r>
        <m:r>
          <m:t>38.342</m:t>
        </m:r>
      </m:oMath>
      <w:r>
        <w:t xml:space="preserve"> </w:t>
      </w:r>
      <w:r>
        <w:t xml:space="preserve">(M3–M5).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33,8–40,0% FSTS qua M2–M9, và được xác nhận lại trong mô hình điều tiết ba chiều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w:t>
      </w:r>
    </w:p>
    <w:bookmarkEnd w:id="39"/>
    <w:bookmarkStart w:id="40" w:name="Xc568d6fd01fb41fe1ddfba785ff310c6ff56f41"/>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w:t>
      </w:r>
      <w:r>
        <w:t xml:space="preserve"> </w:t>
      </w:r>
      <w:r>
        <w:rPr>
          <w:bCs/>
          <w:b/>
        </w:rPr>
        <w:t xml:space="preserve">giảm dần</w:t>
      </w:r>
      <w:r>
        <w:t xml:space="preserve"> </w:t>
      </w:r>
      <w:r>
        <w:t xml:space="preserve">khi chuyển từ nhóm thể chế yếu hơn sang nhóm thể chế mạnh hơn. Cụ thể:</w:t>
      </w:r>
    </w:p>
    <w:p>
      <w:pPr>
        <w:pStyle w:val="BodyText"/>
      </w:pPr>
      <m:oMathPara>
        <m:oMathParaPr>
          <m:jc m:val="center"/>
        </m:oMathParaPr>
        <m:oMath>
          <m:r>
            <m:rPr>
              <m:nor/>
              <m:sty m:val="p"/>
            </m:rPr>
            <m:t>TP(Frontier/SIDS)</m:t>
          </m:r>
          <m:r>
            <m:rPr>
              <m:sty m:val="p"/>
            </m:rPr>
            <m:t>≈</m:t>
          </m:r>
          <m:r>
            <m:t>55</m:t>
          </m:r>
          <m:r>
            <m:rPr>
              <m:sty m:val="p"/>
            </m:rPr>
            <m:t>%</m:t>
          </m:r>
          <m:r>
            <m:rPr>
              <m:sty m:val="p"/>
            </m:rPr>
            <m:t>&gt;</m:t>
          </m:r>
          <m:r>
            <m:rPr>
              <m:nor/>
              <m:sty m:val="p"/>
            </m:rPr>
            <m:t>TP(Upper-middle)</m:t>
          </m:r>
          <m:r>
            <m:rPr>
              <m:sty m:val="p"/>
            </m:rPr>
            <m:t>&gt;</m:t>
          </m:r>
          <m:r>
            <m:rPr>
              <m:nor/>
              <m:sty m:val="p"/>
            </m:rPr>
            <m:t>TP(Advanced Innovation)</m:t>
          </m:r>
          <m:r>
            <m:rPr>
              <m:sty m:val="p"/>
            </m:rPr>
            <m:t>≈</m:t>
          </m:r>
          <m:r>
            <m:t>28</m:t>
          </m:r>
          <m:r>
            <m:rPr>
              <m:sty m:val="p"/>
            </m:rPr>
            <m:t>%</m:t>
          </m:r>
        </m:oMath>
      </m:oMathPara>
    </w:p>
    <w:p>
      <w:pPr>
        <w:pStyle w:val="FirstParagraph"/>
      </w:pPr>
      <w:r>
        <w:t xml:space="preserve">Gradient này nhất quán với dự đoán từ Institutional Theory: trong môi trường thể chế mạnh (Nhóm I), doanh nghiệp hoàn thu chi phí quốc tế hóa tại mức FSTS thấp hơn — đạt đỉnh hiệu quả sớm hơn. Tại các nền kinh tế thể chế yếu (Nhóm V–VI), doanh nghiệp cần mức độ quốc tế hóa cao hơn để bù đắp chi phí giao dịch, nên turning point xuất hiện muộn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bookmarkEnd w:id="40"/>
    <w:bookmarkStart w:id="41" w:name="X32256812b2a6eeab55c6374f270a14b6f4f2077"/>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(~41% nâng mức năng suất mỗi đơn vị SD). Tuy nhiên, tương tác FSTS×TCI và FSTS²×TCI</w:t>
      </w:r>
      <w:r>
        <w:t xml:space="preserve"> </w:t>
      </w:r>
      <w:r>
        <w:rPr>
          <w:bCs/>
          <w:b/>
        </w:rPr>
        <w:t xml:space="preserve">không có ý nghĩa</w:t>
      </w:r>
      <w:r>
        <w:t xml:space="preserve"> </w:t>
      </w:r>
      <w:r>
        <w:t xml:space="preserve">ở toàn mẫu 49 nền kinh tế. H2</w:t>
      </w:r>
      <w:r>
        <w:t xml:space="preserve"> </w:t>
      </w:r>
      <w:r>
        <w:rPr>
          <w:bCs/>
          <w:b/>
        </w:rPr>
        <w:t xml:space="preserve">xác nhận một phần</w:t>
      </w:r>
      <w:r>
        <w:t xml:space="preserve">: TCI là yếu tố nâng mặt bằng năng suất phổ quát, nhưng vai trò uốn đường cong I→P là context-specific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~17% lợi thế năng suất).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012</m:t>
        </m:r>
      </m:oMath>
      <w:r>
        <w:t xml:space="preserve">) xác nhận DAI phát huy hiệu quả mạnh hơn tại các bối cảnh thể chế yếu hơn — nhất quán với CDCM (DAI bù đắp cho "institutional voids").</w:t>
      </w:r>
    </w:p>
    <w:p>
      <w:pPr>
        <w:pStyle w:val="FirstParagraph"/>
      </w:pPr>
      <w:r>
        <w:t xml:space="preserve">Kết quả P7 cung cấp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phụ thuộc vào bối cảnh ICRV — nhất quán với luận điểm CDCM về "nguồn lực tình huống".</w:t>
      </w:r>
    </w:p>
    <w:p>
      <w:r>
        <w:pict>
          <v:rect style="width:0;height:1.5pt" o:hralign="center" o:hrstd="t" o:hr="t"/>
        </w:pict>
      </w:r>
    </w:p>
    <w:bookmarkEnd w:id="41"/>
    <w:bookmarkEnd w:id="42"/>
    <w:bookmarkStart w:id="46" w:name="X515d1af7c14af57822a3e466f5faf3162bb1ab1"/>
    <w:p>
      <w:pPr>
        <w:pStyle w:val="Heading2"/>
      </w:pPr>
      <w:r>
        <w:t xml:space="preserve">4.6 Kết quả trường hợp biên SIDS — Các nền kinh tế đảo nhỏ đang phát triển (P8)</w:t>
      </w:r>
    </w:p>
    <w:bookmarkStart w:id="43" w:name="X7e5a25ed04d464a39ec903e0f1bd3583f9af729"/>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 Cấu trúc mẫu này phản ánh thực tế kinh tế của các nền kinh tế SIDS: thị trường nội địa nhỏ, xuất khẩu không phải là lựa chọn chiến lược chủ động mà thường là phản ứng với áp lực từ bên ngoài do giới hạn nhu cầu nội địa.</w:t>
      </w:r>
    </w:p>
    <w:bookmarkEnd w:id="43"/>
    <w:bookmarkStart w:id="44" w:name="X6260f847af424e7f84b1102579be5299c4b8bbf"/>
    <w:p>
      <w:pPr>
        <w:pStyle w:val="Heading3"/>
      </w:pPr>
      <w:r>
        <w:t xml:space="preserve">4.6.2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Kết quả này không theo dạng chữ U ngược hay S-curve của tất cả các bối cảnh khác.</w:t>
      </w:r>
    </w:p>
    <w:p>
      <w:pPr>
        <w:pStyle w:val="BodyText"/>
      </w:pPr>
      <w:r>
        <w:t xml:space="preserve">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year-FE-only (không có country FE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specification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4"/>
    <w:bookmarkStart w:id="45" w:name="X5d63ecc045aa1562adc99da760d22f0511574f9"/>
    <w:p>
      <w:pPr>
        <w:pStyle w:val="Heading3"/>
      </w:pPr>
      <w:r>
        <w:t xml:space="preserve">4.6.3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xuất hiện trong literature IB trước đây.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(forced internationalization), không phải quốc tế hóa chiến lược (strategic internationalization).</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logistics và giao dịch xuyên biên giới không tỷ lệ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null trong P7), thiếu hỗ trợ chính sách xuất khẩu, và năng lực tổ chức hạn chế khiến cho việc quản lý hoạt động quốc tế hóa vượt quá khả năng của phần lớn doanh nghiệp SIDS.</w:t>
      </w:r>
    </w:p>
    <w:p>
      <w:pPr>
        <w:pStyle w:val="FirstParagraph"/>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45"/>
    <w:bookmarkEnd w:id="46"/>
    <w:bookmarkStart w:id="47" w:name="X9900e071ef3c2c84f8fdd7a95ae52c6a2109bb4"/>
    <w:p>
      <w:pPr>
        <w:pStyle w:val="Heading2"/>
      </w:pPr>
      <w:r>
        <w:t xml:space="preserve">4.7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a49aadb40c127a83ebe1d91ac222e3bdb8617c2"/>
    <w:p>
      <w:pPr>
        <w:pStyle w:val="Heading2"/>
      </w:pPr>
      <w:r>
        <w:t xml:space="preserve">5.1 Bàn luận kết quả theo khung lý thuyết CDCM</w:t>
      </w:r>
    </w:p>
    <w:bookmarkStart w:id="50"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từ 49 nền kinh tế) — đều chỉ đến cùng một kết luận: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 tức là nền kinh tế thể chế mạnh hơn đạt đỉnh hiệu quả tại mức FSTS thấp hơn.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50"/>
    <w:bookmarkStart w:id="51"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~41% tăng năng suất/đơn vị SD). TCI chỉ</w:t>
      </w:r>
      <w:r>
        <w:t xml:space="preserve"> </w:t>
      </w:r>
      <w:r>
        <w:rPr>
          <w:bCs/>
          <w:b/>
        </w:rPr>
        <w:t xml:space="preserve">điều tiết hình dạng đường cong I→P</w:t>
      </w:r>
      <w:r>
        <w:t xml:space="preserve"> </w:t>
      </w:r>
      <w:r>
        <w:t xml:space="preserve">tại bối cảnh quốc gia cụ thể (P3 Việt Nam); ở toàn mẫu P7 (49 nền kinh tế đa dạng thể chế), tương tác FSTS×TCI không có ý nghĩa. H2 được</w:t>
      </w:r>
      <w:r>
        <w:t xml:space="preserve"> </w:t>
      </w:r>
      <w:r>
        <w:rPr>
          <w:bCs/>
          <w:b/>
        </w:rPr>
        <w:t xml:space="preserve">xác nhận một phần</w:t>
      </w:r>
      <w:r>
        <w:t xml:space="preserve">,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tiếp cận công nghệ nước ngoài, chi tiêu R&amp;D, đổi mới sản phẩm và chứng nhận chất lượng — tạo ra giá trị cao hơn từ cùng một mức độ quốc tế hóa, nhưng vai trò uốn đường cong là context-contingent.</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51"/>
    <w:bookmarkStart w:id="52"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012</m:t>
        </m:r>
      </m:oMath>
      <w:r>
        <w:t xml:space="preserve">) xác nhận DAI mạnh hơn tại bối cảnh thể chế yếu hơn — ngụ ý DAI bù đắp cho thiếu hụt thể chế hơn là khuếch đại lợi thế thể chế đã có. Tại Singapore (P4, DAI Tier-1+2), DAI phát huy rõ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bản thân hiệu ứng nâng mặt bằng là phổ quát, nhưng</w:t>
      </w:r>
      <w:r>
        <w:t xml:space="preserve"> </w:t>
      </w:r>
      <w:r>
        <w:rPr>
          <w:bCs/>
          <w:b/>
        </w:rPr>
        <w:t xml:space="preserve">cơ chế và độ lớn</w:t>
      </w:r>
      <w:r>
        <w:t xml:space="preserve"> </w:t>
      </w:r>
      <w:r>
        <w:t xml:space="preserve">của việc điều tiết đường cong I→P phụ thuộc bối cảnh ICRV. DAI×ICRV (</w:t>
      </w:r>
      <m:oMath>
        <m:r>
          <m:t>p</m:t>
        </m:r>
        <m:r>
          <m:rPr>
            <m:sty m:val="p"/>
          </m:rPr>
          <m:t>=</m:t>
        </m:r>
        <m:r>
          <m:rPr>
            <m:sty m:val="p"/>
          </m:rPr>
          <m:t>,</m:t>
        </m:r>
        <m:r>
          <m:t>012</m:t>
        </m:r>
      </m:oMath>
      <w:r>
        <w:t xml:space="preserve">) cho thấy DAI mạnh hơn tại thể chế yếu — "digital shield" bù đắp cho thiếu hụt thể chế, ngược với quan niệm truyền thống rằng DAI chỉ khuếch đại lợi thế đã có. Đây là điểm phân biệt quan trọng giữa TCI (foundational capability phổ quát) và DAI (situational resource với cơ chế phụ thuộc bối cảnh) trong đóng góp lý thuyết của luận án.</w:t>
      </w:r>
    </w:p>
    <w:p>
      <w:pPr>
        <w:pStyle w:val="BodyText"/>
      </w:pPr>
      <w:r>
        <w:t xml:space="preserve">Kết quả null về DAI tại Việt Nam (P3) phản ánh hạn chế đo lường (Tier-1 only, selection bias trong IV estimate) hơn là bác bỏ H3. Khi DAI được đo bằng Tier-1+2 như tại Singapore, hiệu ứng điều tiết xuất hiện rõ ràng hơn. Tất cả đo lường DAI trong luận án là</w:t>
      </w:r>
      <w:r>
        <w:t xml:space="preserve"> </w:t>
      </w:r>
      <w:r>
        <w:rPr>
          <w:bCs/>
          <w:b/>
        </w:rPr>
        <w:t xml:space="preserve">chỉ số chấp nhận số tĩnh</w:t>
      </w:r>
      <w:r>
        <w:t xml:space="preserve"> </w:t>
      </w:r>
      <w:r>
        <w:t xml:space="preserve">— không phải "dynamic digital capability" vì dữ liệu WBES không có đủ thang đo để đo lường tính động.</w:t>
      </w:r>
    </w:p>
    <w:bookmarkEnd w:id="52"/>
    <w:bookmarkStart w:id="53" w:name="Xcb7f2ad84aa9055072bb14b3529192ba58d8037"/>
    <w:p>
      <w:pPr>
        <w:pStyle w:val="Heading3"/>
      </w:pPr>
      <w:r>
        <w:t xml:space="preserve">5.1.4 FIP là Điều Kiện Biên Cực Đoan — H1b cho SIDS</w:t>
      </w:r>
    </w:p>
    <w:p>
      <w:pPr>
        <w:pStyle w:val="FirstParagraph"/>
      </w:pPr>
      <w:r>
        <w:t xml:space="preserve">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53"/>
    <w:bookmarkEnd w:id="54"/>
    <w:bookmarkStart w:id="58" w:name="X03371f9bf2ea7aa70b56c3fc263517b182b20aa"/>
    <w:p>
      <w:pPr>
        <w:pStyle w:val="Heading2"/>
      </w:pPr>
      <w:r>
        <w:t xml:space="preserve">5.2 So sánh với nghiên cứu trước đây</w:t>
      </w:r>
    </w:p>
    <w:bookmarkStart w:id="55"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55"/>
    <w:bookmarkStart w:id="56"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56"/>
    <w:bookmarkStart w:id="57"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57"/>
    <w:bookmarkEnd w:id="58"/>
    <w:bookmarkStart w:id="62" w:name="X358b70cb0587073926db05a46d0ec729e84bb90"/>
    <w:p>
      <w:pPr>
        <w:pStyle w:val="Heading2"/>
      </w:pPr>
      <w:r>
        <w:t xml:space="preserve">5.3 Đóng góp lý thuyết</w:t>
      </w:r>
    </w:p>
    <w:bookmarkStart w:id="59" w:name="X29f632bb883bf22d2c2cdeac758fdcc4dae2054"/>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Đặc biệt, DAI×ICRV (p=.012) cho thấy hiệu ứng điều tiết của DAI</w:t>
      </w:r>
      <w:r>
        <w:t xml:space="preserve"> </w:t>
      </w:r>
      <w:r>
        <w:rPr>
          <w:bCs/>
          <w:b/>
        </w:rPr>
        <w:t xml:space="preserve">mạnh hơn</w:t>
      </w:r>
      <w:r>
        <w:t xml:space="preserve"> </w:t>
      </w:r>
      <w:r>
        <w:t xml:space="preserve">tại các nền kinh tế thể chế yếu hơn (Frontier, SIDS), không phải tại Advanced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p>
      <w:pPr>
        <w:pStyle w:val="BodyText"/>
      </w:pPr>
      <w:r>
        <w:t xml:space="preserve">Cần lưu ý thêm một hạn chế quan trọng: trong toàn bộ luận án, DAI được đo lường dựa trên dữ liệu WBES, vốn có quy mô đo lường hạn chế (không đủ để tạo thang đo "dynamic"). Do đó, DAI trong luận án được hiểu là</w:t>
      </w:r>
      <w:r>
        <w:t xml:space="preserve"> </w:t>
      </w:r>
      <w:r>
        <w:rPr>
          <w:bCs/>
          <w:b/>
        </w:rPr>
        <w:t xml:space="preserve">static digital adoption index</w:t>
      </w:r>
      <w:r>
        <w:t xml:space="preserve"> </w:t>
      </w:r>
      <w:r>
        <w:t xml:space="preserve">— mức độ chấp nhận số tại một thời điểm — chứ không phải là "dynamic digital capability" theo nghĩa của dynamic capabilities theory (Teece et al., 1997). Đây là giới hạn về độ trung thực khái niệm mà các nghiên cứu tương lai cần khắc phục.</w:t>
      </w:r>
    </w:p>
    <w:bookmarkEnd w:id="59"/>
    <w:bookmarkStart w:id="60"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60"/>
    <w:bookmarkStart w:id="61"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61"/>
    <w:bookmarkEnd w:id="62"/>
    <w:bookmarkStart w:id="66" w:name="X7f421bdff8617930b20eb51cd2d551d777f85e9"/>
    <w:p>
      <w:pPr>
        <w:pStyle w:val="Heading2"/>
      </w:pPr>
      <w:r>
        <w:t xml:space="preserve">5.4 Hàm ý chính sách và quản trị</w:t>
      </w:r>
    </w:p>
    <w:bookmarkStart w:id="63" w:name="X9a1ed066b09cdcf5fe6c1375fffc11bc87ba42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63"/>
    <w:bookmarkStart w:id="64" w:name="X3f8d9a323ba27def2403a7e7f4c133f4419909e"/>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5"/>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5"/>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5"/>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64"/>
    <w:bookmarkStart w:id="65" w:name="X61b8a223e6da69b21ec881e9692972717b30064"/>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Xf80a1234b44a7d4089382a2631c25010c604edb"/>
    <w:p>
      <w:pPr>
        <w:pStyle w:val="Heading2"/>
      </w:pPr>
      <w:r>
        <w:t xml:space="preserve">5.5 Hạn chế và hướng nghiên cứu tương lai</w:t>
      </w:r>
    </w:p>
    <w:bookmarkStart w:id="67"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67"/>
    <w:bookmarkStart w:id="68"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8"/>
    <w:bookmarkStart w:id="69"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69"/>
    <w:bookmarkStart w:id="70"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70"/>
    <w:bookmarkEnd w:id="71"/>
    <w:bookmarkStart w:id="76" w:name="X4996a41f63b55247ad67839d7d35b5e27cb34b2"/>
    <w:p>
      <w:pPr>
        <w:pStyle w:val="Heading2"/>
      </w:pPr>
      <w:r>
        <w:t xml:space="preserve">5.6 Kết luận chương và luận án</w:t>
      </w:r>
    </w:p>
    <w:bookmarkStart w:id="72"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6"/>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38.342</m:t>
        </m:r>
      </m:oMath>
      <w:r>
        <w:t xml:space="preserve"> </w:t>
      </w:r>
      <w:r>
        <w:t xml:space="preserve">(M3–M5 với controls), TP = 36,4–40,0%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(Advanced ~28% &lt; Frontier/SIDS ~55%), TCI nâng mặt bằng phổ quát (+41%/SD), DAI điều tiết đường cong có ý nghĩa toàn mẫu và mạnh hơn tại thể chế yếu (DAI×ICRV</w:t>
      </w:r>
      <w:r>
        <w:t xml:space="preserve"> </w:t>
      </w:r>
      <m:oMath>
        <m:r>
          <m:t>p</m:t>
        </m:r>
        <m:r>
          <m:rPr>
            <m:sty m:val="p"/>
          </m:rPr>
          <m:t>=</m:t>
        </m:r>
        <m:r>
          <m:rPr>
            <m:sty m:val="p"/>
          </m:rPr>
          <m:t>,</m:t>
        </m:r>
        <m:r>
          <m:t>012</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thể chế mạnh hơn → turning point thấp hơn (FSTS thấp hơn để đạt đỉnh hiệu quả).</w:t>
      </w:r>
    </w:p>
    <w:bookmarkEnd w:id="73"/>
    <w:bookmarkStart w:id="74"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74"/>
    <w:bookmarkStart w:id="75"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 "Đỗ &amp; Phan, 2026, bản thảo đang chuẩn bị" 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2026-05-24T22:09:50Z</dcterms:created>
  <dcterms:modified xsi:type="dcterms:W3CDTF">2026-05-24T22:09:50Z</dcterms:modified>
</cp:coreProperties>
</file>

<file path=docProps/custom.xml><?xml version="1.0" encoding="utf-8"?>
<Properties xmlns="http://schemas.openxmlformats.org/officeDocument/2006/custom-properties" xmlns:vt="http://schemas.openxmlformats.org/officeDocument/2006/docPropsVTypes"/>
</file>