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K = 288, r̄ = 0,074, I² = 62,4% (Tầng 2 = 54,1%, Tầng 3 = 8,4%), ICRV omnibus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