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chương-3-phương-pháp-nghiên-cứu"/>
    <w:p>
      <w:pPr>
        <w:pStyle w:val="Heading1"/>
      </w:pPr>
      <w:r>
        <w:t xml:space="preserve">CHƯƠNG 3: PHƯƠNG PHÁP NGHIÊN CỨU</w:t>
      </w:r>
    </w:p>
    <w:p>
      <w:r>
        <w:pict>
          <v:rect style="width:0;height:1.5pt" o:hralign="center" o:hrstd="t" o:hr="t"/>
        </w:pict>
      </w:r>
    </w:p>
    <w:bookmarkStart w:id="22" w:name="X5941ec2c11a959ab436d2688aecb01c885af8d5"/>
    <w:p>
      <w:pPr>
        <w:pStyle w:val="Heading2"/>
      </w:pPr>
      <w:r>
        <w:t xml:space="preserve">3.1 Thiết kế nghiên cứu tổng thể</w:t>
      </w:r>
    </w:p>
    <w:bookmarkStart w:id="20" w:name="X0ad18f2ea0f327e90ab493b140585d0f339e352"/>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Do và Phan (2026a).</w:t>
      </w:r>
    </w:p>
    <w:bookmarkEnd w:id="20"/>
    <w:bookmarkStart w:id="21" w:name="Xfd5ae7e7a2cc0c8be87a7a0d68c06af783c9b59"/>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a2b2f63509bf3587653379b96fe905a4c38721"/>
    <w:p>
      <w:pPr>
        <w:pStyle w:val="Heading2"/>
      </w:pPr>
      <w:r>
        <w:t xml:space="preserve">3.2 Phase 1 — Meta-analysis 1982–2026</w:t>
      </w:r>
    </w:p>
    <w:bookmarkStart w:id="23" w:name="X6548c445f253576ab77db0afe7759a99accc5ae"/>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4cc0e11cc2b0a899e7494b6932e6c46974fcac7"/>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phân tích đã xác minh</w:t>
      </w:r>
      <w:r>
        <w:t xml:space="preserve">: K=288 effect sizes / k=238 nghiên cứu (hand-coded baseline đã xác minh, sau WoS/Scopus screening), tăng đáng kể so với bản nền ICBEF 2025 (K=200 / k=113). Đây là tập dữ liệu đã được mã hóa thủ công và tái lập được toàn bộ bảng/hình trong bản thảo P6.</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Do và Phan (2026a).</w:t>
      </w:r>
    </w:p>
    <w:bookmarkEnd w:id="24"/>
    <w:bookmarkStart w:id="25" w:name="Xae02c1433054ac6c9ee47047d46e66bd13cdc6b"/>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2c6e58f89857f64ac5f06ae1a6ddd1deb030675"/>
    <w:p>
      <w:pPr>
        <w:pStyle w:val="Heading2"/>
      </w:pPr>
      <w:r>
        <w:t xml:space="preserve">3.3 Phase 2 — Phân tích thực nghiệm đa quốc gia</w:t>
      </w:r>
    </w:p>
    <w:bookmarkStart w:id="27" w:name="Xf7fc23c09ac90b299b0f14681e1df5ca5c5e569"/>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(Do &amp; Phan, 2026b).</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 trong bối cảnh này, không áp dụng weights là thực hành chuẩn trong literature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27"/>
    <w:bookmarkStart w:id="28" w:name="X2013f18ac82d23d08403a6b9339b953a5fef2fa"/>
    <w:p>
      <w:pPr>
        <w:pStyle w:val="Heading3"/>
      </w:pPr>
      <w:r>
        <w:t xml:space="preserve">3.3.2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(Do &amp; Phan, 2026a).</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40a8e724c89b196c45c024f01b1458111f91588"/>
    <w:p>
      <w:pPr>
        <w:pStyle w:val="Heading3"/>
      </w:pPr>
      <w:r>
        <w:t xml:space="preserve">3.3.3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Do và Phan (2026g) xác nhận có ý nghĩa thống kê ở Trung Quốc với turning point ~47,8% FSTS, làm baseline cho việc kiểm định mở rộng trong luận án.</w:t>
      </w:r>
    </w:p>
    <w:bookmarkEnd w:id="29"/>
    <w:bookmarkStart w:id="33" w:name="Xa7342efa9e4440bffeb50b266b6e2d5207de558"/>
    <w:p>
      <w:pPr>
        <w:pStyle w:val="Heading3"/>
      </w:pPr>
      <w:r>
        <w:t xml:space="preserve">3.3.4 Đo lường biến điều tiết</w:t>
      </w:r>
    </w:p>
    <w:bookmarkStart w:id="30"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242c994c02f3871ea8359747a875373a8cd3eca"/>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Xd77d50b091b2ed22b6b5e4ab46917b297ec7074"/>
    <w:p>
      <w:pPr>
        <w:pStyle w:val="Heading2"/>
      </w:pPr>
      <w:r>
        <w:t xml:space="preserve">3.4 Mô hình phân tích</w:t>
      </w:r>
    </w:p>
    <w:bookmarkStart w:id="36" w:name="Xd5826715f3ece4e9c39fdb63b501527e807067b"/>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91b9254fb543667278f4d6a826ba3dee0d78b94"/>
    <w:p>
      <w:pPr>
        <w:pStyle w:val="Heading3"/>
      </w:pPr>
      <w:r>
        <w:t xml:space="preserve">3.4.2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d036ade5cbc6fe7e16e65a122bd3e74624d8208"/>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1770fb5e1eb3ddd0dda21d7e660ee6e6f352fa1"/>
    <w:p>
      <w:pPr>
        <w:pStyle w:val="Heading3"/>
      </w:pPr>
      <w:r>
        <w:t xml:space="preserve">3.4.4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0"/>
    <w:bookmarkEnd w:id="41"/>
    <w:bookmarkStart w:id="42" w:name="Xaf6b17085c51fbfd36dab2a1029a4e6f9b0638d"/>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Do và Phan (2026g)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e9c37da457fcc384a1a2e7197bb3bb5235b6f8f"/>
    <w:p>
      <w:pPr>
        <w:pStyle w:val="Heading3"/>
      </w:pPr>
      <w:r>
        <w:t xml:space="preserve">3.4.5.1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c82b1aa0784a668aba43881d1c592a6ad08e5ee"/>
    <w:p>
      <w:pPr>
        <w:pStyle w:val="Heading3"/>
      </w:pPr>
      <w:r>
        <w:t xml:space="preserve">3.4.5.2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82%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d7af671c66f92fda4c51769a4f141e153734d80"/>
    <w:p>
      <w:pPr>
        <w:pStyle w:val="Heading3"/>
      </w:pPr>
      <w:r>
        <w:t xml:space="preserve">3.4.5.3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5"/>
    <w:bookmarkStart w:id="47" w:name="Xd325577eb4b3aeedca208ff99575fa4709eddc8"/>
    <w:p>
      <w:pPr>
        <w:pStyle w:val="Heading3"/>
      </w:pPr>
      <w:r>
        <w:t xml:space="preserve">3.4.5.4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 biến phụ thuộc</w:t>
      </w:r>
    </w:p>
    <w:p>
      <w:pPr>
        <w:numPr>
          <w:ilvl w:val="0"/>
          <w:numId w:val="1006"/>
        </w:numPr>
        <w:pStyle w:val="Compact"/>
      </w:pPr>
      <w:r>
        <w:rPr>
          <w:bCs/>
          <w:b/>
        </w:rPr>
        <w:t xml:space="preserve">CDDXK_c_it</w:t>
      </w:r>
      <w:r>
        <w:t xml:space="preserve">: cường độ xuất khẩu mean-centred — FSTS_c = (d3c/100) − mean_pool(FSTS)</w:t>
      </w:r>
    </w:p>
    <w:p>
      <w:pPr>
        <w:numPr>
          <w:ilvl w:val="0"/>
          <w:numId w:val="1006"/>
        </w:numPr>
        <w:pStyle w:val="Compact"/>
      </w:pPr>
      <w:r>
        <w:rPr>
          <w:bCs/>
          <w:b/>
        </w:rPr>
        <w:t xml:space="preserve">CDDXK_c²_it</w:t>
      </w:r>
      <w:r>
        <w:t xml:space="preserve">: CDDXK_c bình phương — kiểm định phi tuyến</w:t>
      </w:r>
    </w:p>
    <w:p>
      <w:pPr>
        <w:numPr>
          <w:ilvl w:val="0"/>
          <w:numId w:val="1006"/>
        </w:numPr>
        <w:pStyle w:val="Compact"/>
      </w:pPr>
      <w:r>
        <w:rPr>
          <w:bCs/>
          <w:b/>
        </w:rPr>
        <w:t xml:space="preserve">NLCN_z_it</w:t>
      </w:r>
      <w:r>
        <w:t xml:space="preserve">: năng lực công nghệ z-standardised — TCI_z = z-std(b8, e6)</w:t>
      </w:r>
    </w:p>
    <w:p>
      <w:pPr>
        <w:numPr>
          <w:ilvl w:val="0"/>
          <w:numId w:val="1006"/>
        </w:numPr>
        <w:pStyle w:val="Compact"/>
      </w:pPr>
      <w:r>
        <w:rPr>
          <w:bCs/>
          <w:b/>
        </w:rPr>
        <w:t xml:space="preserve">CSS_z_it</w:t>
      </w:r>
      <w:r>
        <w:t xml:space="preserve">: chỉ số số hoá z-standardised —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Advanced→SIDS)</w:t>
      </w:r>
    </w:p>
    <w:p>
      <w:pPr>
        <w:numPr>
          <w:ilvl w:val="0"/>
          <w:numId w:val="1006"/>
        </w:numPr>
        <w:pStyle w:val="Compact"/>
      </w:pPr>
      <w:r>
        <w:rPr>
          <w:bCs/>
          <w:b/>
        </w:rPr>
        <w:t xml:space="preserve">lnLD_it</w:t>
      </w:r>
      <w:r>
        <w:t xml:space="preserve">: ln(lao động thường trực) —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46" w:name="X4a5526e778224b6984af319ac51111aa01114f7"/>
    <w:p>
      <w:pPr>
        <w:pStyle w:val="Heading4"/>
      </w:pPr>
      <w:r>
        <w:t xml:space="preserve">3.4.5.5 Mô hình cụ thể —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Kiribati, Papua New Guinea, Samoa, Solomon Islands, Timor-Leste, Tonga, Vanuatu, Comoros) từ các sóng WBES 2009–2025. Đây là nhóm thể chế ICRV Nhóm VI — cấp thấp nhất trong phân loại 6 chế độ —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 FIP)</w:t>
      </w:r>
      <w:r>
        <w:t xml:space="preserve"> </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 KHÔNG gọi là "năng lực số hoá động".</w:t>
      </w:r>
    </w:p>
    <w:p>
      <w:pPr>
        <w:pStyle w:val="BodyText"/>
      </w:pPr>
      <w:r>
        <w:rPr>
          <w:bCs/>
          <w:b/>
        </w:rPr>
        <w:t xml:space="preserve">Chuỗi mô hình M0–M3 (P8):</w:t>
      </w:r>
    </w:p>
    <w:p>
      <w:pPr>
        <w:pStyle w:val="BodyText"/>
      </w:pPr>
      <w:r>
        <w:t xml:space="preserve">M0 —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 Nghiên cứu 8 (Pacific SIDS)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 WBES không thu thập thang đo đầy đủ cho số hoá động tại SIDS.</w:t>
      </w:r>
    </w:p>
    <w:p>
      <w:r>
        <w:pict>
          <v:rect style="width:0;height:1.5pt" o:hralign="center" o:hrstd="t" o:hr="t"/>
        </w:pict>
      </w:r>
    </w:p>
    <w:bookmarkEnd w:id="46"/>
    <w:bookmarkEnd w:id="47"/>
    <w:bookmarkStart w:id="48" w:name="Xcb5234575391557b76fcccc317c70eb26569684"/>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X8be9b8b49491f51852c13794a1720d171ee5535"/>
    <w:p>
      <w:pPr>
        <w:pStyle w:val="Heading2"/>
      </w:pPr>
      <w:r>
        <w:t xml:space="preserve">3.5 Kiểm định độ vững</w:t>
      </w:r>
    </w:p>
    <w:bookmarkStart w:id="50" w:name="Xa00f076f3963b547ab7d43d6f55fd4f3a5113c5"/>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0"/>
    <w:bookmarkStart w:id="51" w:name="Xac2ebbdc11b48daafdee8742a5cbdf7e2e607ee"/>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X7f474d927517549e35ccb278e2098f6d3b759d4"/>
    <w:p>
      <w:pPr>
        <w:pStyle w:val="Heading3"/>
      </w:pPr>
      <w:r>
        <w:t xml:space="preserve">3.5.3 Outliers</w:t>
      </w:r>
    </w:p>
    <w:p>
      <w:pPr>
        <w:pStyle w:val="FirstParagraph"/>
      </w:pPr>
      <w:r>
        <w:t xml:space="preserve">Winsorization 1% và 5% đối với labor productivity và employment, áp dụng trong từng country-year.</w:t>
      </w:r>
    </w:p>
    <w:bookmarkEnd w:id="52"/>
    <w:bookmarkStart w:id="53" w:name="X2da9a9ba2cec2086c1dda0df0458753db93e2e3"/>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3"/>
    <w:bookmarkStart w:id="54" w:name="Xece3d027367fef795bcf55aad7417945cf4f49c"/>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4"/>
    <w:bookmarkEnd w:id="55"/>
    <w:bookmarkStart w:id="56" w:name="Xda9461543ca17f4fffc4dad7e6165fee80c6b0c"/>
    <w:p>
      <w:pPr>
        <w:pStyle w:val="Heading2"/>
      </w:pPr>
      <w:r>
        <w:t xml:space="preserve">3.6 Tóm tắt phương pháp: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Do &amp; Phan (2026a)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Do &amp; Phan (2026a)</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Do &amp; Phan (2026g)</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(Do &amp; Phan, 2026a)</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Do &amp; Phan (2026g)</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X8731c6039be62b4d182e17d98ac2bec3a898506"/>
    <w:p>
      <w:pPr>
        <w:pStyle w:val="Heading2"/>
      </w:pPr>
      <w:r>
        <w:t xml:space="preserve">3.7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2026-05-24T22:09:51Z</dcterms:created>
  <dcterms:modified xsi:type="dcterms:W3CDTF">2026-05-24T22:09:51Z</dcterms:modified>
</cp:coreProperties>
</file>

<file path=docProps/custom.xml><?xml version="1.0" encoding="utf-8"?>
<Properties xmlns="http://schemas.openxmlformats.org/officeDocument/2006/custom-properties" xmlns:vt="http://schemas.openxmlformats.org/officeDocument/2006/docPropsVTypes"/>
</file>