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hội tụ về vai trò điều tiết của thể chế: phân tích meta-analytic (P6) xác nhận hiệu ứng tổng hợp I→P</w:t>
      </w:r>
      <w:r>
        <w:t xml:space="preserve"> </w:t>
      </w:r>
      <w:r>
        <w:rPr>
          <w:bCs/>
          <w:b/>
        </w:rPr>
        <w:t xml:space="preserve">khác biệt có ý nghĩa thống kê</w:t>
      </w:r>
      <w:r>
        <w:t xml:space="preserve"> </w:t>
      </w:r>
      <w:r>
        <w:t xml:space="preserve">giữa các chế độ thể chế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w:t>
      </w:r>
      <w:r>
        <w:t xml:space="preserve"> </w:t>
      </w:r>
      <m:oMath>
        <m:r>
          <m:t>k</m:t>
        </m:r>
        <m:r>
          <m:rPr>
            <m:sty m:val="p"/>
          </m:rPr>
          <m:t>=</m:t>
        </m:r>
        <m:r>
          <m:t>238</m:t>
        </m:r>
      </m:oMath>
      <w:r>
        <w:t xml:space="preserve">), còn phân tích dữ liệu sơ cấp toàn mẫu (P7,</w:t>
      </w:r>
      <w:r>
        <w:t xml:space="preserve"> </w:t>
      </w:r>
      <m:oMath>
        <m:r>
          <m:t>N</m:t>
        </m:r>
        <m:r>
          <m:rPr>
            <m:sty m:val="p"/>
          </m:rPr>
          <m:t>=</m:t>
        </m:r>
        <m:r>
          <m:t>84.910</m:t>
        </m:r>
      </m:oMath>
      <w:r>
        <w:t xml:space="preserve"> </w:t>
      </w:r>
      <w:r>
        <w:t xml:space="preserve">quan sát từ 49 nền kinh tế) thiết lập</w:t>
      </w:r>
      <w:r>
        <w:t xml:space="preserve"> </w:t>
      </w:r>
      <w:r>
        <w:rPr>
          <w:bCs/>
          <w:b/>
        </w:rPr>
        <w:t xml:space="preserve">hình dạng</w:t>
      </w:r>
      <w:r>
        <w:t xml:space="preserve"> </w:t>
      </w:r>
      <w:r>
        <w:t xml:space="preserve">của gradient: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 "digital shield effect" phát huy mạnh nhất khi nền tảng thể chế còn thiếu hụt, không phải khi thể chế đã hoàn thiện.</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(Do &amp; Phan, 2024). Sự hội tụ này là đáng kể vì P6 mở rộng pool lên</w:t>
      </w:r>
      <w:r>
        <w:t xml:space="preserve"> </w:t>
      </w:r>
      <m:oMath>
        <m:r>
          <m:t>k</m:t>
        </m:r>
        <m:r>
          <m:rPr>
            <m:sty m:val="p"/>
          </m:rPr>
          <m:t>=</m:t>
        </m:r>
        <m:r>
          <m:t>238</m:t>
        </m:r>
      </m:oMath>
      <w:r>
        <w:t xml:space="preserve"> </w:t>
      </w:r>
      <w:r>
        <w:t xml:space="preserve">(</w:t>
      </w:r>
      <m:oMath>
        <m:r>
          <m:t>K</m:t>
        </m:r>
        <m:r>
          <m:rPr>
            <m:sty m:val="p"/>
          </m:rPr>
          <m:t>=</m:t>
        </m:r>
        <m:r>
          <m:t>288</m:t>
        </m:r>
      </m:oMath>
      <w:r>
        <w:t xml:space="preserve">) 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dị biệt</w:t>
      </w:r>
      <w:r>
        <w:t xml:space="preserve"> </w:t>
      </w:r>
      <w:r>
        <w:rPr>
          <w:bCs/>
          <w:b/>
        </w:rPr>
        <w:t xml:space="preserve">chủ yếu nằm ở trong từng nghiên cứu</w:t>
      </w:r>
      <w:r>
        <w:t xml:space="preserve"> </w:t>
      </w:r>
      <w:r>
        <w:t xml:space="preserve">(Tầng 2 = 54,1%) chứ không phải giữa các nghiên cứu (Tầng 3 = 8,4%) — thông tin mới mà phân tích meta đơn tầng không cung cấp. Điều này thay đổi hiểu biết về nguồn gốc của heterogeneity trong literature: các</w:t>
      </w:r>
      <w:r>
        <w:t xml:space="preserve"> </w:t>
      </w:r>
      <w:r>
        <w:rPr>
          <w:bCs/>
          <w:b/>
        </w:rPr>
        <w:t xml:space="preserve">lựa chọn đo lường và đặc tả bên trong nghiên cứu</w:t>
      </w:r>
      <w:r>
        <w:t xml:space="preserve"> </w:t>
      </w:r>
      <w:r>
        <w:t xml:space="preserve">(chứ không phải sự khác biệt bối cảnh quốc gia ổn định giữa các nghiên cứu) là nguồn chính của dị biệt. Bên cạnh đó, thiên lệch công bố đáng kể (trim-and-fill</w:t>
      </w:r>
      <w:r>
        <w:t xml:space="preserve"> </w:t>
      </w:r>
      <m:oMath>
        <m:sSub>
          <m:e>
            <m:r>
              <m:t>r</m:t>
            </m:r>
          </m:e>
          <m:sub>
            <m:r>
              <m:t>a</m:t>
            </m:r>
            <m:r>
              <m:t>d</m:t>
            </m:r>
            <m:r>
              <m:t>j</m:t>
            </m:r>
          </m:sub>
        </m:sSub>
        <m:r>
          <m:rPr>
            <m:sty m:val="p"/>
          </m:rPr>
          <m:t>=</m:t>
        </m:r>
        <m:r>
          <m:t>0</m:t>
        </m:r>
        <m:r>
          <m:rPr>
            <m:sty m:val="p"/>
          </m:rPr>
          <m:t>,</m:t>
        </m:r>
        <m:r>
          <m:t>035</m:t>
        </m:r>
      </m:oMath>
      <w:r>
        <w:t xml:space="preserve">) là một phát hiện riêng, gợi ý pooled effect thô có thể bị thổi phồng so với hiệu ứng dân số thực.</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82%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2"/>
    <w:bookmarkStart w:id="33"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3"/>
    <w:bookmarkEnd w:id="34"/>
    <w:bookmarkStart w:id="39"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 ≈ 82%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bookmarkEnd w:id="37"/>
    <w:bookmarkStart w:id="38" w:name="Xaad8460fdc335fc3efe69f336b623b7f9328d91"/>
    <w:p>
      <w:pPr>
        <w:pStyle w:val="Heading3"/>
      </w:pPr>
      <w:r>
        <w:t xml:space="preserve">5.4.4 Ý nghĩa chính sách đặc thù cho Đồng bằng sông Cửu Long</w:t>
      </w:r>
    </w:p>
    <w:p>
      <w:pPr>
        <w:pStyle w:val="FirstParagraph"/>
      </w:pPr>
      <w:r>
        <w:t xml:space="preserve">Kết quả từ Nghiên cứu P3 (Việt Nam, ICRV Nhóm IV) có hàm ý cụ thể và trực tiếp cho bối cảnh Đồng bằng sông Cửu Long (ĐBSCL) — khu vực chiếm gần 18% GDP cả nước và hơn 50% sản lượng gạo, 65% xuất khẩu thủy sản của Việt Nam. Các doanh nghiệp xuất khẩu tại ĐBSCL hoạt động trong cùng bối cảnh thể chế với mẫu P3 nhưng có đặc điểm cấu trúc còn thách thức hơn: quy mô SME chiếm ưu thế, TCI thấp hơn trung bình quốc gia, và tỷ lệ FSTS cấu trúc cao (gạo, thủy sản vốn là hàng hóa xuất khẩu chủ yếu, không có thị trường nội địa quy mô lớn để hấp thụ).</w:t>
      </w:r>
    </w:p>
    <w:p>
      <w:pPr>
        <w:pStyle w:val="BodyText"/>
      </w:pPr>
      <w:r>
        <w:rPr>
          <w:bCs/>
          <w:b/>
        </w:rPr>
        <w:t xml:space="preserve">Turning point thấp (~39–46% FSTS) là cảnh báo cụ thể cho doanh nghiệp xuất khẩu thủy sản và gạo ĐBSCL</w:t>
      </w:r>
      <w:r>
        <w:t xml:space="preserve"> </w:t>
      </w:r>
      <w:r>
        <w:t xml:space="preserve">vốn có FSTS cấu trúc thường vượt 50–70% tổng doanh thu. Kết quả P3 gợi ý rằng nhiều doanh nghiệp này có thể đang ở trên turning point — tức là đang gánh chi phí phối hợp quốc tế mà không tương ứng tăng hiệu quả. Giải pháp không phải là giảm xuất khẩu (vì không có thị trường nội địa để thay thế) mà là</w:t>
      </w:r>
      <w:r>
        <w:t xml:space="preserve"> </w:t>
      </w:r>
      <w:r>
        <w:rPr>
          <w:bCs/>
          <w:b/>
        </w:rPr>
        <w:t xml:space="preserve">nâng TCI đồng thời</w:t>
      </w:r>
      <w:r>
        <w:t xml:space="preserve"> </w:t>
      </w:r>
      <w:r>
        <w:t xml:space="preserve">để dịch chuyển turning point sang phải, mở rộng biên lợi ích của xuất khẩu.</w:t>
      </w:r>
    </w:p>
    <w:p>
      <w:pPr>
        <w:pStyle w:val="BodyText"/>
      </w:pPr>
      <w:r>
        <w:rPr>
          <w:bCs/>
          <w:b/>
        </w:rPr>
        <w:t xml:space="preserve">DAI (Tier-1 proxy — website adoption)</w:t>
      </w:r>
      <w:r>
        <w:t xml:space="preserve"> </w:t>
      </w:r>
      <w:r>
        <w:t xml:space="preserve">tại ĐBSCL vẫn còn thấp so với trung bình cả nước. Kết quả P3 cho thấy tác động DAI null ở Tier-1 đơn thuần, nhưng bằng chứng từ P4 Singapore (Tier-1+2) cho thấy rằng khi doanh nghiệp nâng cấp lên DAI Tier-2 (website + e-payment + e-supplier), hiệu ứng điều tiết trở nên rõ rệt. Đây là cơ sở để ưu tiên các chương trình chuyển đổi số</w:t>
      </w:r>
      <w:r>
        <w:t xml:space="preserve"> </w:t>
      </w:r>
      <w:r>
        <w:rPr>
          <w:bCs/>
          <w:b/>
        </w:rPr>
        <w:t xml:space="preserve">toàn diện</w:t>
      </w:r>
      <w:r>
        <w:t xml:space="preserve"> </w:t>
      </w:r>
      <w:r>
        <w:t xml:space="preserve">— không chỉ dừng ở website (Tier-1 proxy/foundational website adoption) mà tiến tới tích hợp thanh toán điện tử và kết nối nhà cung ứng số (Tier-2) như Chương trình Chuyển đổi số Quốc gia 2025–2030. Nghiên cứu trên dữ liệu WBES Việt Nam 2023 (sóng gần nhất) sẽ cung cấp bằng chứng cập nhật hơn cho các hàm ý này.</w:t>
      </w:r>
    </w:p>
    <w:p>
      <w:r>
        <w:pict>
          <v:rect style="width:0;height:1.5pt" o:hralign="center" o:hrstd="t" o:hr="t"/>
        </w:pict>
      </w:r>
    </w:p>
    <w:bookmarkEnd w:id="38"/>
    <w:bookmarkEnd w:id="39"/>
    <w:bookmarkStart w:id="44" w:name="Xf80a1234b44a7d4089382a2631c25010c604edb"/>
    <w:p>
      <w:pPr>
        <w:pStyle w:val="Heading2"/>
      </w:pPr>
      <w:r>
        <w:t xml:space="preserve">5.5 Hạn chế và hướng nghiên cứu tương lai</w:t>
      </w:r>
    </w:p>
    <w:bookmarkStart w:id="40"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0"/>
    <w:bookmarkStart w:id="41"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1"/>
    <w:bookmarkStart w:id="42"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2"/>
    <w:bookmarkStart w:id="43"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3"/>
    <w:bookmarkEnd w:id="44"/>
    <w:bookmarkStart w:id="49" w:name="X3298e6974611109580cc451c12e8b21e51ab986"/>
    <w:p>
      <w:pPr>
        <w:pStyle w:val="Heading2"/>
      </w:pPr>
      <w:r>
        <w:t xml:space="preserve">5.6 Kết luận</w:t>
      </w:r>
    </w:p>
    <w:bookmarkStart w:id="45" w:name="X7025d5154fd3123be8f63474b59e1f81a12ffb1"/>
    <w:p>
      <w:pPr>
        <w:pStyle w:val="Heading3"/>
      </w:pPr>
      <w:r>
        <w:t xml:space="preserve">5.6.1 Tổng kết sáu nghiên cứu thành phần</w:t>
      </w:r>
    </w:p>
    <w:p>
      <w:pPr>
        <w:pStyle w:val="FirstParagraph"/>
      </w:pPr>
      <w:r>
        <w:t xml:space="preserve">Luận án này được xây dựng trên</w:t>
      </w:r>
      <w:r>
        <w:t xml:space="preserve"> </w:t>
      </w:r>
      <w:r>
        <w:rPr>
          <w:bCs/>
          <w:b/>
        </w:rPr>
        <w:t xml:space="preserve">sáu nghiên cứu thành phần (P3–P8)</w:t>
      </w:r>
      <w:r>
        <w:t xml:space="preserve"> </w:t>
      </w:r>
      <w:r>
        <w:t xml:space="preserve">bổ sung cho nhau, kết hợp bằng chứng từ meta-analysis và phân tích thực nghiệm sơ cấp, trên nền tảng hai công bố trước của nghiên cứu sinh:</w:t>
      </w:r>
    </w:p>
    <w:p>
      <w:pPr>
        <w:numPr>
          <w:ilvl w:val="0"/>
          <w:numId w:val="1002"/>
        </w:numPr>
      </w:pPr>
      <w:r>
        <w:rPr>
          <w:bCs/>
          <w:b/>
        </w:rPr>
        <w:t xml:space="preserve">Nền tảng (P1 và P2, đã công bố — ICBEF 2024, Do &amp; Phan, 2024):</w:t>
      </w:r>
      <w:r>
        <w:t xml:space="preserve"> </w:t>
      </w:r>
      <w:r>
        <w:t xml:space="preserve">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 Hai công bố này là tiền đề, không tính vào sáu nghiên cứu thành phần của luận án.</w:t>
      </w:r>
    </w:p>
    <w:p>
      <w:pPr>
        <w:numPr>
          <w:ilvl w:val="0"/>
          <w:numId w:val="1002"/>
        </w:numPr>
      </w:pPr>
      <w:r>
        <w:rPr>
          <w:bCs/>
          <w:b/>
        </w:rPr>
        <w:t xml:space="preserve">P3</w:t>
      </w:r>
      <w:r>
        <w:t xml:space="preserve"> </w:t>
      </w:r>
      <w:r>
        <w:t xml:space="preserve">(Do &amp; Phan, 2026e):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(Mar et al., 2026): phân tích Singapore (Advanced Innovation), xác nhận inverted-U với TP ≈ 82% (rộng CI), DAI khuếch đại tại mức FSTS cao.</w:t>
      </w:r>
    </w:p>
    <w:p>
      <w:pPr>
        <w:numPr>
          <w:ilvl w:val="0"/>
          <w:numId w:val="1002"/>
        </w:numPr>
      </w:pPr>
      <w:r>
        <w:rPr>
          <w:bCs/>
          <w:b/>
        </w:rPr>
        <w:t xml:space="preserve">P5</w:t>
      </w:r>
      <w:r>
        <w:t xml:space="preserve"> </w:t>
      </w:r>
      <w:r>
        <w:t xml:space="preserve">(Do &amp; Phan, 2026f):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meta-analysis ba tầng mở rộng</w:t>
      </w:r>
      <w:r>
        <w:t xml:space="preserve"> </w:t>
      </w:r>
      <m:oMath>
        <m:r>
          <m:t>k</m:t>
        </m:r>
        <m:r>
          <m:rPr>
            <m:sty m:val="p"/>
          </m:rPr>
          <m:t>=</m:t>
        </m:r>
        <m:r>
          <m:t>238</m:t>
        </m:r>
      </m:oMath>
      <w:r>
        <w:t xml:space="preserve">,</w:t>
      </w:r>
      <w:r>
        <w:t xml:space="preserve"> </w:t>
      </w:r>
      <m:oMath>
        <m:r>
          <m:t>K</m:t>
        </m:r>
        <m:r>
          <m:rPr>
            <m:sty m:val="p"/>
          </m:rPr>
          <m:t>=</m:t>
        </m:r>
        <m:r>
          <m:t>288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(Tầng 2 = 54,1%, Tầng 3 = 8,4%), ICRV omnibus</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thiên lệch công bố đáng kể (Begg</w:t>
      </w:r>
      <w:r>
        <w:t xml:space="preserve">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trim-and-fill</w:t>
      </w:r>
      <w:r>
        <w:t xml:space="preserve"> </w:t>
      </w:r>
      <m:oMath>
        <m:sSub>
          <m:e>
            <m:r>
              <m:t>r</m:t>
            </m:r>
          </m:e>
          <m:sub>
            <m:r>
              <m:t>a</m:t>
            </m:r>
            <m:r>
              <m:t>d</m:t>
            </m:r>
            <m:r>
              <m:t>j</m:t>
            </m:r>
          </m:sub>
        </m:sSub>
        <m:r>
          <m:rPr>
            <m:sty m:val="p"/>
          </m:rPr>
          <m:t>=</m:t>
        </m:r>
        <m:r>
          <m:t>0</m:t>
        </m:r>
        <m:r>
          <m:rPr>
            <m:sty m:val="p"/>
          </m:rPr>
          <m:t>,</m:t>
        </m:r>
        <m:r>
          <m:t>035</m:t>
        </m:r>
      </m:oMath>
      <w:r>
        <w:t xml:space="preserve">).</w:t>
      </w:r>
    </w:p>
    <w:p>
      <w:pPr>
        <w:numPr>
          <w:ilvl w:val="0"/>
          <w:numId w:val="1002"/>
        </w:numPr>
      </w:pPr>
      <w:r>
        <w:rPr>
          <w:bCs/>
          <w:b/>
        </w:rPr>
        <w:t xml:space="preserve">P7</w:t>
      </w:r>
      <w:r>
        <w:t xml:space="preserve"> </w:t>
      </w:r>
      <w:r>
        <w:t xml:space="preserve">(Do &amp; Phan, 2026d):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(Do &amp; Phan, 2026b):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45"/>
    <w:bookmarkStart w:id="46"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259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46"/>
    <w:bookmarkStart w:id="47"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7"/>
    <w:bookmarkStart w:id="48"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8"/>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2026-05-24T22:09:51Z</dcterms:created>
  <dcterms:modified xsi:type="dcterms:W3CDTF">2026-05-24T22:09:51Z</dcterms:modified>
</cp:coreProperties>
</file>

<file path=docProps/custom.xml><?xml version="1.0" encoding="utf-8"?>
<Properties xmlns="http://schemas.openxmlformats.org/officeDocument/2006/custom-properties" xmlns:vt="http://schemas.openxmlformats.org/officeDocument/2006/docPropsVTypes"/>
</file>