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iCs/>
          <w:i/>
        </w:rPr>
        <w:t xml:space="preserve">Target journal: Management International Review (MIR)</w:t>
      </w:r>
    </w:p>
    <w:bookmarkStart w:id="20" w:name="abstract"/>
    <w:p>
      <w:pPr>
        <w:pStyle w:val="Heading2"/>
      </w:pPr>
      <w:r>
        <w:t xml:space="preserve">Abstract</w:t>
      </w:r>
    </w:p>
    <w:p>
      <w:pPr>
        <w:pStyle w:val="FirstParagraph"/>
      </w:pPr>
      <w:r>
        <w:t xml:space="preserve">This study examines how technological capability and digital adoption are associated with the internationalization–performance relationship among firms in Singapore. Throughout, we follow recent IB recommendations on disciplined causal language (Antonakis, Bendahan, Jacquart, &amp; Lalive, 2010; Shaver, 2020) and best practice in interpreting hypothesis tests under research-design constraints (Meyer, van Witteloostuijn, &amp; Beugelsdijk, 2017), reporting associations rather than effects. Singapore is treated as a boundary-case test of the I–P relationship at the advanced-economy ceiling of the Institutional Context and Regulatory Variables (ICRV) spectrum, an analytically informative, within-context setting that reveals how the conventional nonlinear logic behaves when digital infrastructure is near-universally diffused and institutional transaction costs are at their lowest. Using World Bank Enterprise Survey microdata for Singapore 2023, the analysis distinguishes a Technological Capability Index (TCI), capturing firm-internal capability depth, from a Digital Adoption Index (DAI), capturing foundational digital interfaces and transaction-enabling mechanisms.</w:t>
      </w:r>
      <w:r>
        <w:t xml:space="preserve"> </w:t>
      </w:r>
      <w:r>
        <w:t xml:space="preserve">Three findings emerge. First, within the observed export-intensity range, the internationalization–performance relationship is better characterized as predominantly positive with mild quadratic curvature than as a formally identified inverted-U. The fitted quadratic implies a turning point in the upper tail, but that point is imprecisely located and falls in a sparsely populated region of the data. Second, TCI is positively associated with labour productivity, while no statistically distinguishable moderation by TCI is detected under the present design. Third, DAI does not exhibit a large uniform productivity premium across firms; instead, its association with productivity becomes more positive at higher levels of export intensity, with the clearest signal concentrated in the high-export tail. Taken together, the findings provide within-context evidence from Singapore that sharpens the distinction between technological capability and foundational digital adoption and suggests that digital adoption may function more as a contingent scaling resource than as a uniform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p>
    <w:bookmarkEnd w:id="20"/>
    <w:bookmarkStart w:id="25" w:name="Xe3d0fc0bea9a42ce7605565d0964033d7f6ee47"/>
    <w:p>
      <w:pPr>
        <w:pStyle w:val="Heading2"/>
      </w:pPr>
      <w:r>
        <w:t xml:space="preserve">1 Introduction</w:t>
      </w:r>
    </w:p>
    <w:bookmarkStart w:id="21" w:name="Xe5b26b80b1cffd635bf6d81ca2944b40daaf62d"/>
    <w:p>
      <w:pPr>
        <w:pStyle w:val="Heading3"/>
      </w:pPr>
      <w:r>
        <w:t xml:space="preserve">1.1 Background and motivation</w:t>
      </w:r>
    </w:p>
    <w:p>
      <w:pPr>
        <w:pStyle w:val="FirstParagraph"/>
      </w:pP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advanced economies (Peng 2003; Peng et al. 2008) and may not fully capture how the I–P curve behaves when firms operate in a digitally advanced institutional environment.</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we term a</w:t>
      </w:r>
      <w:r>
        <w:t xml:space="preserve"> </w:t>
      </w:r>
      <w:r>
        <w:rPr>
          <w:iCs/>
          <w:i/>
        </w:rPr>
        <w:t xml:space="preserve">digital saturation paradox</w:t>
      </w:r>
      <w:r>
        <w:t xml:space="preserve">: in an environment where Tier 1–2 digital interfaces (websites, electronic payment systems) are already widely diffused, these tools function as hygiene factors for domestic operations rather than differentiating assets. Consistent with this, the Singapore sample reveals that 82% of firms report zero exports, while only 3% exceed 50% foreign sales to total sales, a striking domestic orientation despite the economy's mature digital infrastructure. As a result, the productivity returns to foundational digital adoption should not be expected to manifest uniformly across all firms; instead, they should become measurable primarily when firms face the intensified coordination and transaction demands of cross-border activity. Singapore therefore serves not merely as a convenient empirical backdrop, but as an analytically ideal stress test,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p>
    <w:bookmarkEnd w:id="21"/>
    <w:bookmarkStart w:id="22" w:name="X2961a496af63dca26d6e29b654ead2e696c6fdd"/>
    <w:p>
      <w:pPr>
        <w:pStyle w:val="Heading3"/>
      </w:pPr>
      <w:r>
        <w:t xml:space="preserve">1.2 Research gap</w:t>
      </w:r>
    </w:p>
    <w:p>
      <w:pPr>
        <w:pStyle w:val="FirstParagraph"/>
      </w:pPr>
      <w:r>
        <w:t xml:space="preserve">Three gaps motivate this study. First, prior research has often bundled digitalization-related firm attributes into broad umbrella constructs, making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Second, although work on digital internationalization has generated important conceptual advances, firm-level evidence remains limited on how basic digital adoption relates to export intensity within a single digitally advanced institutional environment. In particular, the literature still offers limited evidence on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making this the most conservative and replicable test of the conditional digital adoption hypothesis.</w:t>
      </w:r>
      <w:r>
        <w:t xml:space="preserve"> </w:t>
      </w:r>
      <w:r>
        <w:t xml:space="preserve">Third, the nonlinear internationalization–performance literature has documented inverted-U patterns extensively, but the interpretation of such patterns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in the same empirical framework.</w:t>
      </w:r>
    </w:p>
    <w:bookmarkEnd w:id="22"/>
    <w:bookmarkStart w:id="23" w:name="X494b14dde48fd709c427dcfac91526fdde5ec7e"/>
    <w:p>
      <w:pPr>
        <w:pStyle w:val="Heading3"/>
      </w:pPr>
      <w:r>
        <w:t xml:space="preserve">1.3 Contribution</w:t>
      </w:r>
    </w:p>
    <w:p>
      <w:pPr>
        <w:pStyle w:val="FirstParagraph"/>
      </w:pPr>
      <w:r>
        <w:t xml:space="preserve">This study makes one primary contribution and two supporting contributions. Its primary contribution is to show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DAI as a scaling lever whose value is realised under export-intensity conditions rather than as a broad firm-level capability advantage. The evidence for this mechanism (H4: positive quadratic DAI×</w:t>
      </w:r>
      <m:oMath>
        <m:sSup>
          <m:e>
            <m:r>
              <m:rPr>
                <m:sty m:val="p"/>
              </m:rPr>
              <m:t>F</m:t>
            </m:r>
            <m:r>
              <m:rPr>
                <m:sty m:val="p"/>
              </m:rPr>
              <m:t>S</m:t>
            </m:r>
            <m:r>
              <m:rPr>
                <m:sty m:val="p"/>
              </m:rPr>
              <m:t>T</m:t>
            </m:r>
            <m:r>
              <m:rPr>
                <m:sty m:val="p"/>
              </m:rPr>
              <m:t>S</m:t>
            </m:r>
          </m:e>
          <m:sup>
            <m:r>
              <m:t>2</m:t>
            </m:r>
          </m:sup>
        </m:sSup>
      </m:oMath>
      <w:r>
        <w:t xml:space="preserve"> </w:t>
      </w:r>
      <w:r>
        <w:t xml:space="preserve">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FSTS=88.6%,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w:t>
      </w:r>
    </w:p>
    <w:bookmarkEnd w:id="23"/>
    <w:bookmarkStart w:id="24" w:name="Xdd618d9602139b0eee88c4277e195c55d104c48"/>
    <w:p>
      <w:pPr>
        <w:pStyle w:val="Heading3"/>
      </w:pPr>
      <w:r>
        <w:t xml:space="preserve">1.4 Roadmap</w:t>
      </w:r>
    </w:p>
    <w:p>
      <w:pPr>
        <w:pStyle w:val="FirstParagraph"/>
      </w:pP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p>
    <w:bookmarkEnd w:id="24"/>
    <w:bookmarkEnd w:id="25"/>
    <w:bookmarkStart w:id="37" w:name="X8bf20a63f0decf7b16e99d564b9958ec4fbbb23"/>
    <w:p>
      <w:pPr>
        <w:pStyle w:val="Heading2"/>
      </w:pPr>
      <w:r>
        <w:t xml:space="preserve">2 Theory and Hypotheses</w:t>
      </w:r>
    </w:p>
    <w:bookmarkStart w:id="26" w:name="X9497e0c582d29cdf214e76507e8fbbcc0b6d410"/>
    <w:p>
      <w:pPr>
        <w:pStyle w:val="Heading3"/>
      </w:pPr>
      <w:r>
        <w:t xml:space="preserve">2.1 The internationalization–performance relationship</w:t>
      </w:r>
    </w:p>
    <w:p>
      <w:pPr>
        <w:pStyle w:val="FirstParagraph"/>
      </w:pP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p>
    <w:bookmarkEnd w:id="26"/>
    <w:bookmarkStart w:id="27" w:name="X58009fa5124754b9d12ae223bf3908d651fea58"/>
    <w:p>
      <w:pPr>
        <w:pStyle w:val="Heading3"/>
      </w:pPr>
      <w:r>
        <w:t xml:space="preserve">2.2 Two distinct constructs: TCI and DAI</w:t>
      </w:r>
    </w:p>
    <w:p>
      <w:pPr>
        <w:pStyle w:val="FirstParagraph"/>
      </w:pP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p>
    <w:bookmarkEnd w:id="27"/>
    <w:bookmarkStart w:id="32" w:name="Xfeb3205642325e47f2817bab2cc060c9f999b02"/>
    <w:p>
      <w:pPr>
        <w:pStyle w:val="Heading3"/>
      </w:pPr>
      <w:r>
        <w:t xml:space="preserve">2.3 Hypothesis development</w:t>
      </w:r>
    </w:p>
    <w:bookmarkStart w:id="28" w:name="X9de0e934912487c2b2355f424516474f67bf4ef"/>
    <w:p>
      <w:pPr>
        <w:pStyle w:val="Heading4"/>
      </w:pPr>
      <w:r>
        <w:t xml:space="preserve">2.3.1 TCI direct effect on productivity</w:t>
      </w:r>
    </w:p>
    <w:p>
      <w:pPr>
        <w:pStyle w:val="FirstParagraph"/>
      </w:pP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We therefore hypothesize:</w:t>
      </w:r>
      <w:r>
        <w:t xml:space="preserve"> </w:t>
      </w:r>
      <w:r>
        <w:t xml:space="preserve">Hypothesis 1 (H1). Technological capability (TCI) is positively associated with firm performance in Singapore.</w:t>
      </w:r>
    </w:p>
    <w:bookmarkEnd w:id="28"/>
    <w:bookmarkStart w:id="29" w:name="Xd77aef7f084e33ec0dd33a50710ed9d88a5bd5f"/>
    <w:p>
      <w:pPr>
        <w:pStyle w:val="Heading4"/>
      </w:pPr>
      <w:r>
        <w:t xml:space="preserve">2.3.2 TCI moderation of the I–P relationship</w:t>
      </w:r>
    </w:p>
    <w:p>
      <w:pPr>
        <w:pStyle w:val="FirstParagraph"/>
      </w:pPr>
      <w:r>
        <w:t xml:space="preserve">A subtler prediction concerns whether technological capability alters the shape of the internationalization–performance relationship rather than simply raising average productivity. From a non-location-bound firm-specific advantage perspective (Rugman &amp; Verbeke, 2004),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H3, and H4 only; a TCI moderation hypothesis (labelled H2 in the companion Vietnam and China papers in this series) is not posited for the Singapore context, where the advanced-economy setting and near-universal digital diffusion do not generate the institutional heterogeneity that would support a confident ex-ante prediction about TCI-contingent I–P curvature.</w:t>
      </w:r>
    </w:p>
    <w:bookmarkEnd w:id="29"/>
    <w:bookmarkStart w:id="30" w:name="Xca797cdf899e8025c95598929e8214dfe008510"/>
    <w:p>
      <w:pPr>
        <w:pStyle w:val="Heading4"/>
      </w:pPr>
      <w:r>
        <w:t xml:space="preserve">2.3.3 DAI direct effect on productivity</w:t>
      </w:r>
    </w:p>
    <w:p>
      <w:pPr>
        <w:pStyle w:val="FirstParagraph"/>
      </w:pPr>
      <w:r>
        <w:t xml:space="preserve">Digital adoption is associated with firm performance through faster information flows, lower transaction frictions, and more efficient digital exchange, but such associations are unlikely to be uniform across firms and may emerge only after complementary organisational adjustments accumulate (Brynjolfsson, Rock, &amp; Syverson, 2021).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3 (H3). The productivity association of digital adoption (DAI) in Singapore varies systematically across the export-intensity distribution: empirically, the joint test on the DAI direct and DAI×FSTS interaction terms rejects the null of a uniform DAI–productivity association across the full FSTS range.</w:t>
      </w:r>
    </w:p>
    <w:bookmarkEnd w:id="30"/>
    <w:bookmarkStart w:id="31" w:name="Xb90d981e4efafb918608a9cc7d37012dec59e7b"/>
    <w:p>
      <w:pPr>
        <w:pStyle w:val="Heading4"/>
      </w:pPr>
      <w:r>
        <w:t xml:space="preserve">2.3.4 DAI as a conditional complement to export intensity</w:t>
      </w:r>
    </w:p>
    <w:p>
      <w:pPr>
        <w:pStyle w:val="FirstParagraph"/>
      </w:pP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r>
        <w:t xml:space="preserve"> </w:t>
      </w:r>
      <w:r>
        <w:t xml:space="preserve">Hypothesis 4 (H4). The association between digital adoption (DAI) and firm performance becomes more positive at higher levels of export intensity in Singapore.</w:t>
      </w:r>
    </w:p>
    <w:bookmarkEnd w:id="31"/>
    <w:bookmarkEnd w:id="32"/>
    <w:bookmarkStart w:id="36" w:name="X120be97a373b91b5bab21d44e9895db7ca01e76"/>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H3 and H4 are jointly informative: H3 concerns the non-uniformity of the DAI–productivity association, whereas H4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BodyText"/>
      </w:pPr>
      <w:r>
        <w:drawing>
          <wp:inline>
            <wp:extent cx="5753100" cy="3868873"/>
            <wp:effectExtent b="0" l="0" r="0" t="0"/>
            <wp:docPr descr="Figure 1: Conceptual model. TCI and DAI moderating the I–P relationsh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868873"/>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Internationalization (FSTS,</w:t>
      </w:r>
      <w:r>
        <w:t xml:space="preserve"> </w:t>
      </w:r>
      <m:oMath>
        <m:sSup>
          <m:e>
            <m:r>
              <m:rPr>
                <m:sty m:val="p"/>
              </m:rPr>
              <m:t>F</m:t>
            </m:r>
            <m:r>
              <m:rPr>
                <m:sty m:val="p"/>
              </m:rPr>
              <m:t>S</m:t>
            </m:r>
            <m:r>
              <m:rPr>
                <m:sty m:val="p"/>
              </m:rPr>
              <m:t>T</m:t>
            </m:r>
            <m:r>
              <m:rPr>
                <m:sty m:val="p"/>
              </m:rPr>
              <m:t>S</m:t>
            </m:r>
          </m:e>
          <m:sup>
            <m:r>
              <m:t>2</m:t>
            </m:r>
          </m:sup>
        </m:sSup>
      </m:oMath>
      <w:r>
        <w:t xml:space="preserve">) is the independent variable; firm performance, measured as ln(labour productivity), is the dependent variable. Digital adoption (DAI) is the contingency variable on the I–P path (H4); technological capability (TCI) enters mainly as a direct-effect construct (H1), with any moderation by TCI assessed in a supplementary test rather than hypothesized ex ante. The diagram also lists the direct effect of DAI on the dependent variable (H3), which is estimated in the empirical model but not drawn as a crossing arrow for visual clarity. Firm size, age, foreign ownership, and broad-sector fixed effects enter as controls. Solid arrows denote direct associations; dashed arrows denote moderation associations. The setting is Singapore as a within-context, analytically informative case of a digitally advanced economy (WBES 2023, N = 623 / 617).</w:t>
      </w:r>
    </w:p>
    <w:bookmarkEnd w:id="36"/>
    <w:bookmarkEnd w:id="37"/>
    <w:bookmarkStart w:id="45" w:name="X167a2da0345881bf36eef0606d50b1063a572d3"/>
    <w:p>
      <w:pPr>
        <w:pStyle w:val="Heading2"/>
      </w:pPr>
      <w:r>
        <w:t xml:space="preserve">3 Methods</w:t>
      </w:r>
    </w:p>
    <w:bookmarkStart w:id="38" w:name="X7539fb3dc2f98232f41138bc75cab658563f4ee"/>
    <w:p>
      <w:pPr>
        <w:pStyle w:val="Heading3"/>
      </w:pPr>
      <w:r>
        <w:t xml:space="preserve">3.1 Data</w:t>
      </w:r>
    </w:p>
    <w:p>
      <w:pPr>
        <w:pStyle w:val="FirstParagraph"/>
      </w:pPr>
      <w:r>
        <w:t xml:space="preserve">We use the World Bank Enterprise Survey (WBES) Singapore 2023 wave (World Bank, 2024),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 2 e-payment adoption (customer- and supplier-side) is widespread relative to emerging-market contexts. This saturation is consistent with Singapore's advanced institutional context and explains why the Lind–Mehlum test for the inverted-U does not formally reject monotonicity at conventional thresholds (p = .303): when foundational digital adoption is near-uniformly diffused, the right-tail attenuation that drives the curvature mechanism is harder to detect with a 623-firm sample. Figure 3 [see Figures section] illustrates the predicted I–P curve and the sparse upper-tail region where the turning point is implied.</w:t>
      </w:r>
    </w:p>
    <w:bookmarkEnd w:id="38"/>
    <w:bookmarkStart w:id="43" w:name="Xbcf9f12e79107fa2c089aaf13fc6c4fb773f1c2"/>
    <w:p>
      <w:pPr>
        <w:pStyle w:val="Heading3"/>
      </w:pPr>
      <w:r>
        <w:t xml:space="preserve">3.2 Variables</w:t>
      </w:r>
    </w:p>
    <w:bookmarkStart w:id="39" w:name="X7e58563e31c3ad002492190dd8d5308423faaad"/>
    <w:p>
      <w:pPr>
        <w:pStyle w:val="Heading4"/>
      </w:pPr>
      <w:r>
        <w:t xml:space="preserve">3.2.1 Dependent variable</w:t>
      </w:r>
    </w:p>
    <w:p>
      <w:pPr>
        <w:pStyle w:val="FirstParagraph"/>
      </w:pP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firms belong to the same 2023 cross-section, sales are expressed in nominal 2023 Singapore dollars, with any common price-level effect absorbed by the intercept. To reduce sensitivity to outliers, the dependent variable is winsorized at the 1st and 99th percentiles.</w:t>
      </w:r>
    </w:p>
    <w:bookmarkEnd w:id="39"/>
    <w:bookmarkStart w:id="40" w:name="X2cdc78afcfd9a4441a0b7b899a2b559f49a455a"/>
    <w:p>
      <w:pPr>
        <w:pStyle w:val="Heading4"/>
      </w:pPr>
      <w:r>
        <w:t xml:space="preserve">3.2.2 Focal independent variable</w:t>
      </w:r>
    </w:p>
    <w:p>
      <w:pPr>
        <w:pStyle w:val="FirstParagraph"/>
      </w:pP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p>
    <w:bookmarkEnd w:id="40"/>
    <w:bookmarkStart w:id="41" w:name="X5885cfa65cddf1d15b27f59176f9dbae5a8c10a"/>
    <w:p>
      <w:pPr>
        <w:pStyle w:val="Heading4"/>
      </w:pPr>
      <w:r>
        <w:t xml:space="preserve">3.2.3 TCI and DAI composites</w:t>
      </w:r>
    </w:p>
    <w:p>
      <w:pPr>
        <w:pStyle w:val="FirstParagraph"/>
      </w:pPr>
      <w:r>
        <w:t xml:space="preserve">Technological capability and digital adoption are modeled as two distinct formative composites rather than reflective scales because their indicators jointly</w:t>
      </w:r>
      <w:r>
        <w:t xml:space="preserve"> </w:t>
      </w:r>
      <w:r>
        <w:rPr>
          <w:iCs/>
          <w:i/>
        </w:rPr>
        <w:t xml:space="preserve">constitute</w:t>
      </w:r>
      <w:r>
        <w:t xml:space="preserve"> </w:t>
      </w:r>
      <w:r>
        <w:t xml:space="preserve">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component indicators are standardized, aggregated using equal weights, and then re-standardized so that coefficients are interpretable in standard-deviation units.</w:t>
      </w:r>
    </w:p>
    <w:p>
      <w:pPr>
        <w:pStyle w:val="BodyText"/>
      </w:pPr>
      <w:r>
        <w:t xml:space="preserve">Table V1 maps each focal variable to its source items in the WBES Singapore 2023 instrument so that the empirical specifications are fully traceable to public microdata.</w:t>
      </w:r>
    </w:p>
    <w:p>
      <w:pPr>
        <w:pStyle w:val="BodyText"/>
      </w:pPr>
      <w:r>
        <w:rPr>
          <w:bCs/>
          <w:b/>
        </w:rPr>
        <w:t xml:space="preserve">Table V1.</w:t>
      </w:r>
      <w:r>
        <w:t xml:space="preserve"> </w:t>
      </w:r>
      <w:r>
        <w:t xml:space="preserve">Variable definitions and WBES item codes.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Operational definition</w:t>
            </w:r>
          </w:p>
        </w:tc>
        <w:tc>
          <w:tcPr/>
          <w:p>
            <w:pPr>
              <w:pStyle w:val="Compact"/>
              <w:jc w:val="left"/>
            </w:pPr>
            <w:r>
              <w:t xml:space="preserve">WBES item(s)</w:t>
            </w:r>
          </w:p>
        </w:tc>
        <w:tc>
          <w:tcPr/>
          <w:p>
            <w:pPr>
              <w:pStyle w:val="Compact"/>
              <w:jc w:val="left"/>
            </w:pPr>
            <w:r>
              <w:t xml:space="preserve">Source / rationale</w:t>
            </w:r>
          </w:p>
        </w:tc>
      </w:tr>
      <w:tr>
        <w:tc>
          <w:tcPr/>
          <w:p>
            <w:pPr>
              <w:pStyle w:val="Compact"/>
              <w:jc w:val="left"/>
            </w:pPr>
            <w:r>
              <w:t xml:space="preserve">ln(LP)</w:t>
            </w:r>
          </w:p>
        </w:tc>
        <w:tc>
          <w:tcPr/>
          <w:p>
            <w:pPr>
              <w:pStyle w:val="Compact"/>
              <w:jc w:val="left"/>
            </w:pPr>
            <w:r>
              <w:t xml:space="preserve">ln(annual sales / full-time permanent employees), winsorised at 1st/99th percentiles</w:t>
            </w:r>
          </w:p>
        </w:tc>
        <w:tc>
          <w:tcPr/>
          <w:p>
            <w:pPr>
              <w:pStyle w:val="Compact"/>
              <w:jc w:val="left"/>
            </w:pPr>
            <w:r>
              <w:t xml:space="preserve">d2 (sales), l1 (employees)</w:t>
            </w:r>
          </w:p>
        </w:tc>
        <w:tc>
          <w:tcPr/>
          <w:p>
            <w:pPr>
              <w:pStyle w:val="Compact"/>
              <w:jc w:val="left"/>
            </w:pPr>
            <w:r>
              <w:t xml:space="preserve">Productivity-as-performance (Hitt et al., 1997; Lu &amp; Beamish, 2004)</w:t>
            </w:r>
          </w:p>
        </w:tc>
      </w:tr>
      <w:tr>
        <w:tc>
          <w:tcPr/>
          <w:p>
            <w:pPr>
              <w:pStyle w:val="Compact"/>
              <w:jc w:val="left"/>
            </w:pPr>
            <w:r>
              <w:t xml:space="preserve">FSTS</w:t>
            </w:r>
          </w:p>
        </w:tc>
        <w:tc>
          <w:tcPr/>
          <w:p>
            <w:pPr>
              <w:pStyle w:val="Compact"/>
              <w:jc w:val="left"/>
            </w:pPr>
            <w:r>
              <w:t xml:space="preserve">Direct-export share of annual sales, rescaled to [0, 1], mean-centred before squaring</w:t>
            </w:r>
          </w:p>
        </w:tc>
        <w:tc>
          <w:tcPr/>
          <w:p>
            <w:pPr>
              <w:pStyle w:val="Compact"/>
              <w:jc w:val="left"/>
            </w:pPr>
            <w:r>
              <w:t xml:space="preserve">d3c</w:t>
            </w:r>
          </w:p>
        </w:tc>
        <w:tc>
          <w:tcPr/>
          <w:p>
            <w:pPr>
              <w:pStyle w:val="Compact"/>
              <w:jc w:val="left"/>
            </w:pPr>
            <w:r>
              <w:t xml:space="preserve">Standard I–P literature operationalisation</w:t>
            </w:r>
          </w:p>
        </w:tc>
      </w:tr>
      <w:tr>
        <w:tc>
          <w:tcPr/>
          <w:p>
            <w:pPr>
              <w:pStyle w:val="Compact"/>
              <w:jc w:val="left"/>
            </w:pPr>
            <w:r>
              <w:t xml:space="preserve">TCI (formative)</w:t>
            </w:r>
          </w:p>
        </w:tc>
        <w:tc>
          <w:tcPr/>
          <w:p>
            <w:pPr>
              <w:pStyle w:val="Compact"/>
              <w:jc w:val="left"/>
            </w:pPr>
            <w:r>
              <w:t xml:space="preserve">Equal-weighted z-aggregate of four binary indicators, re-standardised</w:t>
            </w:r>
          </w:p>
        </w:tc>
        <w:tc>
          <w:tcPr/>
          <w:p>
            <w:pPr>
              <w:pStyle w:val="Compact"/>
              <w:jc w:val="left"/>
            </w:pPr>
            <w:r>
              <w:t xml:space="preserve">b8 (ISO/quality certification), e6 (R&amp;D activity), h1 (foreign-licensed technology), h8 (product innovation)</w:t>
            </w:r>
          </w:p>
        </w:tc>
        <w:tc>
          <w:tcPr/>
          <w:p>
            <w:pPr>
              <w:pStyle w:val="Compact"/>
              <w:jc w:val="left"/>
            </w:pPr>
            <w:r>
              <w:t xml:space="preserve">Lall (1992) absorptive-capacity tradition; Cohen &amp; Levinthal (1990)</w:t>
            </w:r>
          </w:p>
        </w:tc>
      </w:tr>
      <w:tr>
        <w:tc>
          <w:tcPr/>
          <w:p>
            <w:pPr>
              <w:pStyle w:val="Compact"/>
              <w:jc w:val="left"/>
            </w:pPr>
            <w:r>
              <w:t xml:space="preserve">DAI (formative, Tier 1–2)</w:t>
            </w:r>
          </w:p>
        </w:tc>
        <w:tc>
          <w:tcPr/>
          <w:p>
            <w:pPr>
              <w:pStyle w:val="Compact"/>
              <w:jc w:val="left"/>
            </w:pPr>
            <w:r>
              <w:t xml:space="preserve">Equal-weighted z-aggregate of website binary plus normalised electronic-payment intensities, re-standardised</w:t>
            </w:r>
          </w:p>
        </w:tc>
        <w:tc>
          <w:tcPr/>
          <w:p>
            <w:pPr>
              <w:pStyle w:val="Compact"/>
              <w:jc w:val="left"/>
            </w:pPr>
            <w:r>
              <w:t xml:space="preserve">c22b (website, Tier 1); k33 (customer-side e-payment %, Tier 2); k38 (supplier-side e-payment %, Tier 2)</w:t>
            </w:r>
          </w:p>
        </w:tc>
        <w:tc>
          <w:tcPr/>
          <w:p>
            <w:pPr>
              <w:pStyle w:val="Compact"/>
              <w:jc w:val="left"/>
            </w:pPr>
            <w:r>
              <w:t xml:space="preserve">Verhoef et al. (2021) digital-transformation hierarchy; Bharadwaj et al. (2013)</w:t>
            </w:r>
          </w:p>
        </w:tc>
      </w:tr>
      <w:tr>
        <w:tc>
          <w:tcPr/>
          <w:p>
            <w:pPr>
              <w:pStyle w:val="Compact"/>
              <w:jc w:val="left"/>
            </w:pPr>
            <w:r>
              <w:t xml:space="preserve">ln(Emp)</w:t>
            </w:r>
          </w:p>
        </w:tc>
        <w:tc>
          <w:tcPr/>
          <w:p>
            <w:pPr>
              <w:pStyle w:val="Compact"/>
              <w:jc w:val="left"/>
            </w:pPr>
            <w:r>
              <w:t xml:space="preserve">ln(full-time permanent employees)</w:t>
            </w:r>
          </w:p>
        </w:tc>
        <w:tc>
          <w:tcPr/>
          <w:p>
            <w:pPr>
              <w:pStyle w:val="Compact"/>
              <w:jc w:val="left"/>
            </w:pPr>
            <w:r>
              <w:t xml:space="preserve">l1</w:t>
            </w:r>
          </w:p>
        </w:tc>
        <w:tc>
          <w:tcPr/>
          <w:p>
            <w:pPr>
              <w:pStyle w:val="Compact"/>
              <w:jc w:val="left"/>
            </w:pPr>
            <w:r>
              <w:t xml:space="preserve">Standard firm-size control</w:t>
            </w:r>
          </w:p>
        </w:tc>
      </w:tr>
      <w:tr>
        <w:tc>
          <w:tcPr/>
          <w:p>
            <w:pPr>
              <w:pStyle w:val="Compact"/>
              <w:jc w:val="left"/>
            </w:pPr>
            <w:r>
              <w:t xml:space="preserve">FirmAge</w:t>
            </w:r>
          </w:p>
        </w:tc>
        <w:tc>
          <w:tcPr/>
          <w:p>
            <w:pPr>
              <w:pStyle w:val="Compact"/>
              <w:jc w:val="left"/>
            </w:pPr>
            <w:r>
              <w:t xml:space="preserve">survey year − year of establishment</w:t>
            </w:r>
          </w:p>
        </w:tc>
        <w:tc>
          <w:tcPr/>
          <w:p>
            <w:pPr>
              <w:pStyle w:val="Compact"/>
              <w:jc w:val="left"/>
            </w:pPr>
            <w:r>
              <w:t xml:space="preserve">b5</w:t>
            </w:r>
          </w:p>
        </w:tc>
        <w:tc>
          <w:tcPr/>
          <w:p>
            <w:pPr>
              <w:pStyle w:val="Compact"/>
              <w:jc w:val="left"/>
            </w:pPr>
            <w:r>
              <w:t xml:space="preserve">Liability-of-newness / cohort effects</w:t>
            </w:r>
          </w:p>
        </w:tc>
      </w:tr>
      <w:tr>
        <w:tc>
          <w:tcPr/>
          <w:p>
            <w:pPr>
              <w:pStyle w:val="Compact"/>
              <w:jc w:val="left"/>
            </w:pPr>
            <w:r>
              <w:t xml:space="preserve">ForeignOwned</w:t>
            </w:r>
          </w:p>
        </w:tc>
        <w:tc>
          <w:tcPr/>
          <w:p>
            <w:pPr>
              <w:pStyle w:val="Compact"/>
              <w:jc w:val="left"/>
            </w:pPr>
            <w:r>
              <w:t xml:space="preserve">Indicator: 1 if foreign ownership share ≥ 10 %</w:t>
            </w:r>
          </w:p>
        </w:tc>
        <w:tc>
          <w:tcPr/>
          <w:p>
            <w:pPr>
              <w:pStyle w:val="Compact"/>
              <w:jc w:val="left"/>
            </w:pPr>
            <w:r>
              <w:t xml:space="preserve">b2b</w:t>
            </w:r>
          </w:p>
        </w:tc>
        <w:tc>
          <w:tcPr/>
          <w:p>
            <w:pPr>
              <w:pStyle w:val="Compact"/>
              <w:jc w:val="left"/>
            </w:pPr>
            <w:r>
              <w:t xml:space="preserve">UNCTAD/IMF FDI cutoff convention</w:t>
            </w:r>
          </w:p>
        </w:tc>
      </w:tr>
      <w:tr>
        <w:tc>
          <w:tcPr/>
          <w:p>
            <w:pPr>
              <w:pStyle w:val="Compact"/>
              <w:jc w:val="left"/>
            </w:pPr>
            <w:r>
              <w:t xml:space="preserve">Sector FE</w:t>
            </w:r>
          </w:p>
        </w:tc>
        <w:tc>
          <w:tcPr/>
          <w:p>
            <w:pPr>
              <w:pStyle w:val="Compact"/>
              <w:jc w:val="left"/>
            </w:pPr>
            <w:r>
              <w:t xml:space="preserve">Manufacturing / Retail / Other services / Other</w:t>
            </w:r>
          </w:p>
        </w:tc>
        <w:tc>
          <w:tcPr/>
          <w:p>
            <w:pPr>
              <w:pStyle w:val="Compact"/>
              <w:jc w:val="left"/>
            </w:pPr>
            <w:r>
              <w:t xml:space="preserve">a4b (one-digit ISIC)</w:t>
            </w:r>
          </w:p>
        </w:tc>
        <w:tc>
          <w:tcPr/>
          <w:p>
            <w:pPr>
              <w:pStyle w:val="Compact"/>
              <w:jc w:val="left"/>
            </w:pPr>
            <w:r>
              <w:t xml:space="preserve">Absorbs sector heterogeneity in productivity, export propensity, and digital-adoption norms</w:t>
            </w:r>
          </w:p>
        </w:tc>
      </w:tr>
    </w:tbl>
    <w:p>
      <w:pPr>
        <w:pStyle w:val="BodyText"/>
      </w:pPr>
      <w:r>
        <w:t xml:space="preserve">Listwise deletion on the focal-variable set yields N = 623 for specifications without DAI and N = 617 for DAI-inclusive specifications (six firms have missing values on at least one of c22b, k33, k38).</w:t>
      </w:r>
    </w:p>
    <w:p>
      <w:pPr>
        <w:pStyle w:val="BodyText"/>
      </w:pPr>
      <w:r>
        <w:rPr>
          <w:bCs/>
          <w:b/>
        </w:rPr>
        <w:t xml:space="preserve">Formative vs. reflective measurement diagnostic (Coltman et al., 2008).</w:t>
      </w:r>
      <w:r>
        <w:t xml:space="preserve"> </w:t>
      </w:r>
      <w:r>
        <w:t xml:space="preserve">The Coltman, Devinney, Midgley, and Venaik (2008) four-criterion test motivates the formative specification for both composites:</w:t>
      </w:r>
    </w:p>
    <w:p>
      <w:pPr>
        <w:numPr>
          <w:ilvl w:val="0"/>
          <w:numId w:val="1001"/>
        </w:numPr>
        <w:pStyle w:val="Compact"/>
      </w:pPr>
      <w:r>
        <w:rPr>
          <w:iCs/>
          <w:i/>
        </w:rPr>
        <w:t xml:space="preserve">Direction of causality.</w:t>
      </w:r>
      <w:r>
        <w:t xml:space="preserve"> </w:t>
      </w:r>
      <w:r>
        <w:t xml:space="preserve">Each indicator (e.g. obtaining ISO certification, deploying a website) is a constitutive choice that</w:t>
      </w:r>
      <w:r>
        <w:t xml:space="preserve"> </w:t>
      </w:r>
      <w:r>
        <w:rPr>
          <w:iCs/>
          <w:i/>
        </w:rPr>
        <w:t xml:space="preserve">defines</w:t>
      </w:r>
      <w:r>
        <w:t xml:space="preserve"> </w:t>
      </w:r>
      <w:r>
        <w:t xml:space="preserve">the construct rather than a manifestation caused by an underlying latent capability. Dropping any indicator would change the meaning of TCI or DAI rather than just shift its measurement error.</w:t>
      </w:r>
    </w:p>
    <w:p>
      <w:pPr>
        <w:numPr>
          <w:ilvl w:val="0"/>
          <w:numId w:val="1001"/>
        </w:numPr>
        <w:pStyle w:val="Compact"/>
      </w:pPr>
      <w:r>
        <w:rPr>
          <w:iCs/>
          <w:i/>
        </w:rPr>
        <w:t xml:space="preserve">Interchangeability.</w:t>
      </w:r>
      <w:r>
        <w:t xml:space="preserve"> </w:t>
      </w:r>
      <w:r>
        <w:t xml:space="preserve">The component indicators are not interchangeable: ISO certification and R&amp;D effort, or website presence and e-payment penetration, capture distinct content domains that need not co-vary. The item-swap falsification test in Section 4.5 (R2 + indicator reassignment) confirms that swapping c22b from DAI into TCI breaks the canonical moderation result (joint F drops from 4.56 to 1.88).</w:t>
      </w:r>
    </w:p>
    <w:p>
      <w:pPr>
        <w:numPr>
          <w:ilvl w:val="0"/>
          <w:numId w:val="1001"/>
        </w:numPr>
        <w:pStyle w:val="Compact"/>
      </w:pPr>
      <w:r>
        <w:rPr>
          <w:iCs/>
          <w:i/>
        </w:rPr>
        <w:t xml:space="preserve">Covariation among indicators.</w:t>
      </w:r>
      <w:r>
        <w:t xml:space="preserve"> </w:t>
      </w:r>
      <w:r>
        <w:t xml:space="preserve">Inter-item correlations within TCI (mean r = 0.18) and within DAI (mean r = 0.21) are positive but modest, consistent with a formative model where indicators contribute partially independent information rather than redundantly indexing one latent factor.</w:t>
      </w:r>
    </w:p>
    <w:p>
      <w:pPr>
        <w:numPr>
          <w:ilvl w:val="0"/>
          <w:numId w:val="1001"/>
        </w:numPr>
        <w:pStyle w:val="Compact"/>
      </w:pPr>
      <w:r>
        <w:rPr>
          <w:iCs/>
          <w:i/>
        </w:rPr>
        <w:t xml:space="preserve">Antecedents and consequences.</w:t>
      </w:r>
      <w:r>
        <w:t xml:space="preserve"> </w:t>
      </w:r>
      <w:r>
        <w:t xml:space="preserve">Each indicator has distinct antecedents (e.g. R&amp;D effort responds to industry technological intensity, while ISO certification responds to export-market regulatory exposure) and contributes independently to the nomological consequences hypothesised in Section 2. This rules out the reflective alternative in which all indicators should share antecedents.</w:t>
      </w:r>
    </w:p>
    <w:p>
      <w:pPr>
        <w:pStyle w:val="FirstParagraph"/>
      </w:pPr>
      <w:r>
        <w:t xml:space="preserve">Together these four criteria reject a reflective measurement model for both TCI and DAI; the formative composites are therefore the appropriate operationalisation.</w:t>
      </w:r>
    </w:p>
    <w:bookmarkEnd w:id="41"/>
    <w:bookmarkStart w:id="42" w:name="X7f318314f3a5164dbb5d2e2bfe8bd11c34b488e"/>
    <w:p>
      <w:pPr>
        <w:pStyle w:val="Heading4"/>
      </w:pPr>
      <w:r>
        <w:t xml:space="preserve">3.2.4 Controls</w:t>
      </w:r>
    </w:p>
    <w:p>
      <w:pPr>
        <w:pStyle w:val="FirstParagraph"/>
      </w:pP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p>
    <w:bookmarkEnd w:id="42"/>
    <w:bookmarkEnd w:id="43"/>
    <w:bookmarkStart w:id="44" w:name="X84482d10811f20e2a246857c008316fafc15eb6"/>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(MacKinnon &amp; White, 1985). Models are estimated sequentially, beginning with a controls-only specification and then moving to a linear internationalization model, a quadratic full-sample benchmark, direct-effect models for TCI and DAI, and full specifications that incorporate moderation terms.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 Accordingly, the analysis does not treat the full-sample polynomial as sufficient evidence of a formally identified inverted-U in the observed data range.</w:t>
      </w:r>
      <w:r>
        <w:t xml:space="preserve"> </w:t>
      </w:r>
      <w:r>
        <w:t xml:space="preserve">The full empirical specification (Model M8) is</w:t>
      </w:r>
    </w:p>
    <w:p>
      <w:pPr>
        <w:pStyle w:val="BodyText"/>
      </w:pPr>
      <m:oMathPara>
        <m:oMathParaPr>
          <m:jc m:val="center"/>
        </m:oMathParaP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r>
                <m:rPr>
                  <m:sty m:val="p"/>
                </m:rPr>
                <m:t>T</m:t>
              </m:r>
              <m:r>
                <m:rPr>
                  <m:sty m:val="p"/>
                </m:rPr>
                <m:t>C</m:t>
              </m:r>
              <m:r>
                <m:rPr>
                  <m:sty m:val="p"/>
                </m:rPr>
                <m:t>I</m:t>
              </m:r>
            </m:e>
            <m:sub>
              <m:r>
                <m:t>i</m:t>
              </m:r>
            </m:sub>
          </m:sSub>
          <m:r>
            <m:rPr>
              <m:sty m:val="p"/>
            </m:rPr>
            <m:t>+</m:t>
          </m:r>
          <m:sSub>
            <m:e>
              <m:r>
                <m:t>β</m:t>
              </m:r>
            </m:e>
            <m:sub>
              <m:r>
                <m:t>4</m:t>
              </m:r>
            </m:sub>
          </m:sSub>
          <m:r>
            <m:t> </m:t>
          </m:r>
          <m:sSub>
            <m:e>
              <m:r>
                <m:rPr>
                  <m:sty m:val="p"/>
                </m:rPr>
                <m:t>D</m:t>
              </m:r>
              <m:r>
                <m:rPr>
                  <m:sty m:val="p"/>
                </m:rPr>
                <m:t>A</m:t>
              </m:r>
              <m:r>
                <m:rPr>
                  <m:sty m:val="p"/>
                </m:rPr>
                <m:t>I</m:t>
              </m:r>
            </m:e>
            <m:sub>
              <m:r>
                <m:t>i</m:t>
              </m:r>
            </m:sub>
          </m:sSub>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r>
                    <m:rPr>
                      <m:sty m:val="p"/>
                    </m:rPr>
                    <m:t>D</m:t>
                  </m:r>
                  <m:r>
                    <m:rPr>
                      <m:sty m:val="p"/>
                    </m:rPr>
                    <m:t>A</m:t>
                  </m:r>
                  <m:r>
                    <m:rPr>
                      <m:sty m:val="p"/>
                    </m:rPr>
                    <m:t>I</m:t>
                  </m:r>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rPr>
                      <m:sty m:val="p"/>
                    </m:rPr>
                    <m:t>D</m:t>
                  </m:r>
                  <m:r>
                    <m:rPr>
                      <m:sty m:val="p"/>
                    </m:rPr>
                    <m:t>A</m:t>
                  </m:r>
                  <m:r>
                    <m:rPr>
                      <m:sty m:val="p"/>
                    </m:rPr>
                    <m:t>I</m:t>
                  </m:r>
                </m:e>
                <m:sub>
                  <m:r>
                    <m:t>i</m:t>
                  </m:r>
                </m:sub>
              </m:sSub>
            </m:e>
          </m:d>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oMath>
      </m:oMathPara>
    </w:p>
    <w:p>
      <w:pPr>
        <w:pStyle w:val="FirstParagraph"/>
      </w:pPr>
      <w:r>
        <w:t xml:space="preserve">where</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bar>
          <m:barPr>
            <m:pos m:val="top"/>
          </m:barPr>
          <m:e>
            <m:r>
              <m:rPr>
                <m:sty m:val="p"/>
              </m:rPr>
              <m:t>F</m:t>
            </m:r>
            <m:r>
              <m:rPr>
                <m:sty m:val="p"/>
              </m:rPr>
              <m:t>S</m:t>
            </m:r>
            <m:r>
              <m:rPr>
                <m:sty m:val="p"/>
              </m:rPr>
              <m:t>T</m:t>
            </m:r>
            <m:r>
              <m:rPr>
                <m:sty m:val="p"/>
              </m:rPr>
              <m:t>S</m:t>
            </m:r>
          </m:e>
        </m:bar>
      </m:oMath>
      <w:r>
        <w:t xml:space="preserve"> </w:t>
      </w:r>
      <w:r>
        <w:t xml:space="preserve">is mean-centred export intensity,</w:t>
      </w:r>
      <w:r>
        <w:t xml:space="preserve"> </w:t>
      </w:r>
      <m:oMath>
        <m:sSub>
          <m:e>
            <m:r>
              <m:rPr>
                <m:sty m:val="b"/>
              </m:rPr>
              <m:t>x</m:t>
            </m:r>
          </m:e>
          <m:sub>
            <m:r>
              <m:t>i</m:t>
            </m:r>
          </m:sub>
        </m:sSub>
      </m:oMath>
      <w:r>
        <w:t xml:space="preserve"> </w:t>
      </w:r>
      <w:r>
        <w:t xml:space="preserve">collects firm-level controls (log permanent employees, firm age, foreign-ownership indicator, broad-sector fixed effects), and standard errors are computed with the HC1 estimator (MacKinnon &amp; White, 1985).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bar>
          <m:barPr>
            <m:pos m:val="top"/>
          </m:barPr>
          <m:e>
            <m:r>
              <m:rPr>
                <m:sty m:val="p"/>
              </m:rPr>
              <m:t>F</m:t>
            </m:r>
            <m:r>
              <m:rPr>
                <m:sty m:val="p"/>
              </m:rPr>
              <m:t>S</m:t>
            </m:r>
            <m:r>
              <m:rPr>
                <m:sty m:val="p"/>
              </m:rPr>
              <m:t>T</m:t>
            </m:r>
            <m:r>
              <m:rPr>
                <m:sty m:val="p"/>
              </m:rPr>
              <m:t>S</m:t>
            </m:r>
          </m:e>
        </m:bar>
      </m:oMath>
      <w:r>
        <w:t xml:space="preserve"> </w:t>
      </w:r>
      <w:r>
        <w:t xml:space="preserve">when</w:t>
      </w:r>
      <w:r>
        <w:t xml:space="preserve"> </w:t>
      </w:r>
      <m:oMath>
        <m:sSub>
          <m:e>
            <m:acc>
              <m:accPr>
                <m:chr m:val="̂"/>
              </m:accPr>
              <m:e>
                <m:r>
                  <m:t>β</m:t>
                </m:r>
              </m:e>
            </m:acc>
          </m:e>
          <m:sub>
            <m:r>
              <m:t>2</m:t>
            </m:r>
          </m:sub>
        </m:sSub>
        <m:r>
          <m:rPr>
            <m:sty m:val="p"/>
          </m:rPr>
          <m:t>&lt;</m:t>
        </m:r>
        <m:r>
          <m:t>0</m:t>
        </m:r>
      </m:oMath>
      <w:r>
        <w:t xml:space="preserve">.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 All estimations are performed in Stata 18 with the</w:t>
      </w:r>
      <w:r>
        <w:t xml:space="preserve"> </w:t>
      </w:r>
      <w:r>
        <w:rPr>
          <w:rStyle w:val="VerbatimChar"/>
        </w:rPr>
        <w:t xml:space="preserve">utest</w:t>
      </w:r>
      <w:r>
        <w:t xml:space="preserve"> </w:t>
      </w:r>
      <w:r>
        <w:t xml:space="preserve">package (Lind &amp; Mehlum, 2010) for the inverted-U test; the 5,000-replication bootstrap for the turning-point confidence interval uses a fixed seed (12345) to ensure replicability.</w:t>
      </w:r>
    </w:p>
    <w:bookmarkEnd w:id="44"/>
    <w:bookmarkEnd w:id="45"/>
    <w:bookmarkStart w:id="57" w:name="X121719332867ee227f0a04b486098cee978c6e6"/>
    <w:p>
      <w:pPr>
        <w:pStyle w:val="Heading2"/>
      </w:pPr>
      <w:r>
        <w:t xml:space="preserve">4 Results</w:t>
      </w:r>
    </w:p>
    <w:bookmarkStart w:id="46" w:name="Xcfcbc1028680fbd618b9b585dd17cf608861803"/>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m:oMath>
              <m:sSup>
                <m:e>
                  <m:r>
                    <m:rPr>
                      <m:sty m:val="p"/>
                    </m:rPr>
                    <m:t>F</m:t>
                  </m:r>
                  <m:r>
                    <m:rPr>
                      <m:sty m:val="p"/>
                    </m:rPr>
                    <m:t>S</m:t>
                  </m:r>
                  <m:r>
                    <m:rPr>
                      <m:sty m:val="p"/>
                    </m:rPr>
                    <m:t>T</m:t>
                  </m:r>
                  <m:r>
                    <m:rPr>
                      <m:sty m:val="p"/>
                    </m:rPr>
                    <m:t>S</m:t>
                  </m:r>
                </m:e>
                <m:sup>
                  <m:r>
                    <m:t>2</m:t>
                  </m:r>
                </m:sup>
              </m:sSup>
            </m:oMath>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p>
    <w:bookmarkEnd w:id="46"/>
    <w:bookmarkStart w:id="47" w:name="Xe86cbbe4620ce5d84f78b7737e30408048ed6af"/>
    <w:p>
      <w:pPr>
        <w:pStyle w:val="Heading3"/>
      </w:pPr>
      <w:r>
        <w:t xml:space="preserve">4.2 The I–P relationship: primarily monotonic with mild curvature</w:t>
      </w:r>
    </w:p>
    <w:p>
      <w:pPr>
        <w:pStyle w:val="FirstParagraph"/>
      </w:pPr>
      <w:r>
        <w:t xml:space="preserve">In the baseline quadratic specification (Model M2), the linear FSTS term is positive and statistically significant, whereas the squared term is negative and only marginally significant.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H4 rather than constituting a failure of the inverted-U framework.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47"/>
    <w:bookmarkStart w:id="48" w:name="Xbd081e7d38ad07e1e46d233e5fbc3c3c47a4f64"/>
    <w:p>
      <w:pPr>
        <w:pStyle w:val="Heading3"/>
      </w:pPr>
      <w:r>
        <w:t xml:space="preserve">4.3 TCI results</w:t>
      </w:r>
    </w:p>
    <w:p>
      <w:pPr>
        <w:pStyle w:val="FirstParagraph"/>
      </w:pPr>
      <w:r>
        <w:t xml:space="preserve">The direct-effect model for technological capability (Model M5) shows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p>
    <w:bookmarkEnd w:id="48"/>
    <w:bookmarkStart w:id="55" w:name="X0bc604979a3b7f5f87ce430a2a9c0e71ddd76f9"/>
    <w:p>
      <w:pPr>
        <w:pStyle w:val="Heading3"/>
      </w:pPr>
      <w:r>
        <w:t xml:space="preserve">4.4 DAI results</w:t>
      </w:r>
    </w:p>
    <w:p>
      <w:pPr>
        <w:pStyle w:val="FirstParagraph"/>
      </w:pPr>
      <w:r>
        <w:t xml:space="preserve">In the direct-effect model for digital adoption (Model M6), DAI is positively associated with labour productivity (β = 0.104, SE = 0.038, p = .007). However, once TCI is included alongside DAI in Model M7, the DAI coefficient attenuates to β = 0.077 and remains marginal (p = .048), indicating partial overlap in the average-firm heterogeneity captured by the two constructs. This attenuation is substantively important because it suggests that DAI should not be interpreted as a large, universal productivity premium across all firms.</w:t>
      </w:r>
      <w:r>
        <w:t xml:space="preserve"> </w:t>
      </w:r>
      <w:r>
        <w:t xml:space="preserve">Table 2. Hierarchical OLS regression results. Singapore 2023.</w:t>
      </w:r>
      <w:r>
        <w:t xml:space="preserve"> </w:t>
      </w:r>
      <w:r>
        <w:t xml:space="preserve">DV: Ln(Labour Productivity). HC1 robust standard errors in parentheses.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shows a strongly positive linear FSTS term and a marginally negative squared term, indicating that the internationalization–performance relationship is better read as predominantly monotonic positive with mild quadratic curvature rather than as a formally established inverted-U. The direct-effect models further show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shows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and marginal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3.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3.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3 and Figure 2 translate the interaction estimates from Model M8 into substantively interpretable marginal effects across the export-intensity distribution. At FSTS = 0, the marginal effect of DAI is small but positive and marginally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3).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753100" cy="3665854"/>
            <wp:effectExtent b="0" l="0" r="0" t="0"/>
            <wp:docPr descr="Figure 2: Marginal effects of DAI on log labour productivity at varying FSTS levels (Singapore, N=617)" title="" id="50" name="Picture"/>
            <a:graphic>
              <a:graphicData uri="http://schemas.openxmlformats.org/drawingml/2006/picture">
                <pic:pic>
                  <pic:nvPicPr>
                    <pic:cNvPr descr="figures/p4_singapore/figure_2_dai_marginal_effect.png" id="51" name="Picture"/>
                    <pic:cNvPicPr>
                      <a:picLocks noChangeArrowheads="1" noChangeAspect="1"/>
                    </pic:cNvPicPr>
                  </pic:nvPicPr>
                  <pic:blipFill>
                    <a:blip r:embed="rId49"/>
                    <a:stretch>
                      <a:fillRect/>
                    </a:stretch>
                  </pic:blipFill>
                  <pic:spPr bwMode="auto">
                    <a:xfrm>
                      <a:off x="0" y="0"/>
                      <a:ext cx="5753100" cy="3665854"/>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753100" cy="3665854"/>
            <wp:effectExtent b="0" l="0" r="0" t="0"/>
            <wp:docPr descr="Figure 3: Predicted I–P curve with bootstrap confidence band (Singapore, OLS M2)" title="" id="53" name="Picture"/>
            <a:graphic>
              <a:graphicData uri="http://schemas.openxmlformats.org/drawingml/2006/picture">
                <pic:pic>
                  <pic:nvPicPr>
                    <pic:cNvPr descr="figures/p4_singapore/figure_3_predicted_ip_curve.png" id="54" name="Picture"/>
                    <pic:cNvPicPr>
                      <a:picLocks noChangeArrowheads="1" noChangeAspect="1"/>
                    </pic:cNvPicPr>
                  </pic:nvPicPr>
                  <pic:blipFill>
                    <a:blip r:embed="rId52"/>
                    <a:stretch>
                      <a:fillRect/>
                    </a:stretch>
                  </pic:blipFill>
                  <pic:spPr bwMode="auto">
                    <a:xfrm>
                      <a:off x="0" y="0"/>
                      <a:ext cx="5753100" cy="3665854"/>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88.6% on the original scale (−β₁/2β₂ on mean-centered FSTS ≈ 84.1%; adding back the sample mean of 0.045 gives ≈ 88.6%.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r>
        <w:t xml:space="preserve"> </w:t>
      </w:r>
      <w:r>
        <w:t xml:space="preserve">Figure 3 visualises the baseline quadratic fit between export intensity and labour productivity. The fitted curve implies a turning point near FSTS = 88.6 % on the original scale (computed as</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on mean-centred FSTS ≈ 84.1 %, plus the sample mean 0.045), but the point estimate is loosely identified, its 95 % percentile bootstrap confidence interval spans [53 %, 253 %], and lies in a sparsely populated upper tail of the sample. The Lind–Mehlum test does not formally confirm a conventional inverted-U at standard significance levels. The appropriate interpretation is therefore not that the classic nonlinear literature is overturned, but that in this Singapore sample the right-side decline of the curve appears attenuated or shifted beyond the export range occupied by most firms in the data.</w:t>
      </w:r>
    </w:p>
    <w:bookmarkEnd w:id="55"/>
    <w:bookmarkStart w:id="56" w:name="Xc8e997e14555d7ba8da5c1d596c5311617447cd"/>
    <w:p>
      <w:pPr>
        <w:pStyle w:val="Heading3"/>
      </w:pPr>
      <w:r>
        <w:t xml:space="preserve">4.5 Robustness checks</w:t>
      </w:r>
    </w:p>
    <w:p>
      <w:pPr>
        <w:pStyle w:val="FirstParagraph"/>
      </w:pPr>
      <w:r>
        <w:t xml:space="preserve">The robustness analysis shows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These effect sizes reinforce a cautious interpretation. A formal power analysis underscores the implication: at f²=0.018 with α=.05 and one numerator degree of freedom, achieving 80% power requires approximately N &gt; 430 (computed from standard power-analysis formulae for multiple regression; cf. Cohen, 1988, pp. 407–414). The full analytic sample (N=617) is adequate for this level, but the exporters-only subsample (N=84) is substantially underpowered for effects of this magnitude, power at N=84 and f²=0.018 is approximately 16%. This means that null DAI moderation results in the exporters-only specification should not be interpreted as evidence against the conditional-scaling mechanism, but as a reflection of inadequate sample size for detecting the small effect implied by the full-sample estimates. The significant exporters-only result reported in the robustness checks (Section 4.5 R5: β=+2.821, joint F p=.003) is therefore a stronger positive signal than its marginal sample size would ordinarily support, and should be interpreted cautiously despite its statistical significance.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significant (F=6.32, p=.003), though individual coefficient precision is reduced by the small exporter sample. This supports the conditional scaling interpretation but should be read cautiously given thin support in the upper tail. (ii)</w:t>
      </w:r>
      <w:r>
        <w:t xml:space="preserve"> </w:t>
      </w:r>
      <w:r>
        <w:rPr>
          <w:iCs/>
          <w:i/>
        </w:rPr>
        <w:t xml:space="preserve">Export participation selection</w:t>
      </w:r>
      <w:r>
        <w:t xml:space="preserve">: a Heckman two-step correction was explored, but no instrument satisfying the exclusion restriction for export participation could be identified in the single-wave Singapore design, cross-sectional variation in trade costs or export-promotion eligibility is not available in WBES 2023 Singapore. As a reduced-form sensitivity check, we estimated a first-stage probit of export participation on observable firm characteristics (age, log size, sector fixed effects, and WBES sampling stratum) and added the resulting inverse Mills ratio (IMR) as a covariate in the M8 specification. The IMR enters with marginal significance (β = 0.264, SE = 0.138, t = 1.92, p = .055), indicating mild selection at the extensive margin of export participation. The key DAI×</w:t>
      </w:r>
      <m:oMath>
        <m:sSup>
          <m:e>
            <m:r>
              <m:rPr>
                <m:sty m:val="p"/>
              </m:rPr>
              <m:t>F</m:t>
            </m:r>
            <m:r>
              <m:rPr>
                <m:sty m:val="p"/>
              </m:rPr>
              <m:t>S</m:t>
            </m:r>
            <m:r>
              <m:rPr>
                <m:sty m:val="p"/>
              </m:rPr>
              <m:t>T</m:t>
            </m:r>
            <m:r>
              <m:rPr>
                <m:sty m:val="p"/>
              </m:rPr>
              <m:t>S</m:t>
            </m:r>
          </m:e>
          <m:sup>
            <m:r>
              <m:t>2</m:t>
            </m:r>
          </m:sup>
        </m:sSup>
      </m:oMath>
      <w:r>
        <w:t xml:space="preserve"> </w:t>
      </w:r>
      <w:r>
        <w:t xml:space="preserve">interaction (H4) and the TCI coefficient are not materially altered (|Δ| &lt; 0.02 in each case), confirming that the digital complementarity mechanism is robust to this selection correction. The baseline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level coefficients attenuate substantially when the IMR is included, consistent with selection partially confounding the overall level of the I–P relationship rather than its contingent digital moderation pattern. Consistent with Wolfolds and Siegel (2019), the OLS estimates are reported as the primary specification with the caveat that selection on unobservables cannot be fully excluded from the single-wave cross-sectional design. (iii)</w:t>
      </w:r>
      <w:r>
        <w:t xml:space="preserve"> </w:t>
      </w:r>
      <w:r>
        <w:rPr>
          <w:iCs/>
          <w:i/>
        </w:rPr>
        <w:t xml:space="preserve">Tobit alternative</w:t>
      </w:r>
      <w:r>
        <w:t xml:space="preserve">: because FSTS is bounded on [0,1], a Tobit specification (censored at 0) was estimated as a robustness check; the positive quadratic DAI interaction retains its sign and direction, consistent with the OLS results reported in Table 4.</w:t>
      </w:r>
      <w:r>
        <w:t xml:space="preserve"> </w:t>
      </w:r>
      <w:r>
        <w:t xml:space="preserve">Table 4.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w:t>
            </w:r>
            <m:oMath>
              <m:sSub>
                <m:e>
                  <m:r>
                    <m:rPr>
                      <m:sty m:val="p"/>
                    </m:rPr>
                    <m:t>T</m:t>
                  </m:r>
                  <m:r>
                    <m:rPr>
                      <m:sty m:val="p"/>
                    </m:rPr>
                    <m:t>C</m:t>
                  </m:r>
                  <m:r>
                    <m:rPr>
                      <m:sty m:val="p"/>
                    </m:rPr>
                    <m:t>I</m:t>
                  </m:r>
                </m:e>
                <m:sub>
                  <m:r>
                    <m:rPr>
                      <m:nor/>
                      <m:sty m:val="p"/>
                    </m:rPr>
                    <m:t>full</m:t>
                  </m:r>
                </m:sub>
              </m:sSub>
            </m:oMath>
            <w:r>
              <w:t xml:space="preserve"> </w:t>
            </w:r>
            <w:r>
              <w:t xml:space="preserve">+</w:t>
            </w:r>
            <w:r>
              <w:t xml:space="preserve"> </w:t>
            </w:r>
            <m:oMath>
              <m:sSub>
                <m:e>
                  <m:r>
                    <m:rPr>
                      <m:sty m:val="p"/>
                    </m:rPr>
                    <m:t>D</m:t>
                  </m:r>
                  <m:r>
                    <m:rPr>
                      <m:sty m:val="p"/>
                    </m:rPr>
                    <m:t>A</m:t>
                  </m:r>
                  <m:r>
                    <m:rPr>
                      <m:sty m:val="p"/>
                    </m:rPr>
                    <m:t>I</m:t>
                  </m:r>
                </m:e>
                <m:sub>
                  <m:r>
                    <m:rPr>
                      <m:nor/>
                      <m:sty m:val="p"/>
                    </m:rPr>
                    <m:t>rich</m:t>
                  </m:r>
                </m:sub>
              </m:sSub>
            </m:oMath>
            <w:r>
              <w:t xml:space="preserve">)</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w:t>
            </w:r>
            <w:r>
              <w:t xml:space="preserve"> </w:t>
            </w:r>
            <m:oMath>
              <m:sSub>
                <m:e>
                  <m:r>
                    <m:rPr>
                      <m:sty m:val="p"/>
                    </m:rPr>
                    <m:t>D</m:t>
                  </m:r>
                  <m:r>
                    <m:rPr>
                      <m:sty m:val="p"/>
                    </m:rPr>
                    <m:t>A</m:t>
                  </m:r>
                  <m:r>
                    <m:rPr>
                      <m:sty m:val="p"/>
                    </m:rPr>
                    <m:t>I</m:t>
                  </m:r>
                </m:e>
                <m:sub>
                  <m:r>
                    <m:rPr>
                      <m:nor/>
                      <m:sty m:val="p"/>
                    </m:rPr>
                    <m:t>thin</m:t>
                  </m:r>
                </m:sub>
              </m:sSub>
            </m:oMath>
            <w:r>
              <w:t xml:space="preserve"> </w:t>
            </w:r>
            <w:r>
              <w:t xml:space="preserve">(website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w:t>
            </w:r>
            <w:r>
              <w:t xml:space="preserve"> </w:t>
            </w:r>
            <m:oMath>
              <m:sSub>
                <m:e>
                  <m:r>
                    <m:rPr>
                      <m:sty m:val="p"/>
                    </m:rPr>
                    <m:t>T</m:t>
                  </m:r>
                  <m:r>
                    <m:rPr>
                      <m:sty m:val="p"/>
                    </m:rPr>
                    <m:t>C</m:t>
                  </m:r>
                  <m:r>
                    <m:rPr>
                      <m:sty m:val="p"/>
                    </m:rPr>
                    <m:t>I</m:t>
                  </m:r>
                </m:e>
                <m:sub>
                  <m:r>
                    <m:rPr>
                      <m:nor/>
                      <m:sty m:val="p"/>
                    </m:rPr>
                    <m:t>thin</m:t>
                  </m:r>
                </m:sub>
              </m:sSub>
            </m:oMath>
            <w:r>
              <w:t xml:space="preserve"> </w:t>
            </w:r>
            <w:r>
              <w:t xml:space="preserve">(e6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4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p>
    <w:bookmarkEnd w:id="56"/>
    <w:bookmarkEnd w:id="57"/>
    <w:bookmarkStart w:id="60" w:name="X735612638e4e736e4693e459c258977262c0dfc"/>
    <w:p>
      <w:pPr>
        <w:pStyle w:val="Heading2"/>
      </w:pPr>
      <w:r>
        <w:t xml:space="preserve">5 Discussion</w:t>
      </w:r>
    </w:p>
    <w:bookmarkStart w:id="58" w:name="X027b31c2d090a00917aa7291770680fd40b64cd"/>
    <w:p>
      <w:pPr>
        <w:pStyle w:val="Heading3"/>
      </w:pPr>
      <w:r>
        <w:t xml:space="preserve">5.1 Theoretical implications</w:t>
      </w:r>
    </w:p>
    <w:p>
      <w:pPr>
        <w:pStyle w:val="FirstParagraph"/>
      </w:pPr>
      <w:r>
        <w:t xml:space="preserve">Three theoretical implications follow from these findings. First, the TCI result supports a capability-depth interpretation of firm performance in internationalizing firms. Technological capability is positively associated with labour productivity in a way that is more stable than any moderation pattern identified in the present design, which is consistent with the view that internal capability depth is associated with a stronger productivity base from which firms engage international markets. This interpretation fits the absorptive-capacity and technological-capability traditions by emphasizing learning, innovation, and technology absorption as firm-internal sources of productivity heterogeneity rather than as clearly identified shifters of I–P curvature.</w:t>
      </w:r>
      <w:r>
        <w:t xml:space="preserve"> </w:t>
      </w:r>
      <w:r>
        <w:t xml:space="preserve">Second,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but that it provides within-context evidence from Singapore showing how the conventional I–P logic appears when most firms remain clustered at very low export intensity and the upper tail is thin. In that sense, the study sharpens interpretation of the nonlinear literature without claiming that a single-country cross-section can separate a context-specific mechanism from Singapore-specific institutional features.</w:t>
      </w:r>
      <w:r>
        <w:t xml:space="preserve"> </w:t>
      </w:r>
      <w:r>
        <w:t xml:space="preserve">Third, the DAI result suggests that foundational digital adoption is better understood as a conditional scaling resource than as a uniform firm-level productivity premium. Across much of the observed export-intensity distribution, the DAI association is weak or statistically indistinct, but it becomes more positive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while also underscoring that the evidence is concentrated in a thin-support region and should therefore be interpreted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The absence of a uniform DAI premium across the full sample is itself theoretically informative: in an environment where Tier 1–2 digital tools are near-universally diffused, these tools cannot generate cross-sectional productivity advantages in domestic operations, consistent with the digital saturation paradox outlined in the introduction. Their measurable return surfaces only when the scaling demands of high export intensity justify intensive use of digital interfaces and transaction systems.</w:t>
      </w:r>
    </w:p>
    <w:p>
      <w:pPr>
        <w:pStyle w:val="BodyText"/>
      </w:pPr>
      <w:r>
        <w:t xml:space="preserve">Three candidate mechanisms can account for the observed conditional pattern, and the present cross-section design allows the evidence to be classified but not causally adjudicated. First, a</w:t>
      </w:r>
      <w:r>
        <w:t xml:space="preserve"> </w:t>
      </w:r>
      <w:r>
        <w:rPr>
          <w:iCs/>
          <w:i/>
        </w:rPr>
        <w:t xml:space="preserve">substitution</w:t>
      </w:r>
      <w:r>
        <w:t xml:space="preserve"> </w:t>
      </w:r>
      <w:r>
        <w:t xml:space="preserve">mechanism would predict that digital adoption compensates for weaker alternative coordination resources at high export intensity, reducing per-unit coordination cost and thereby raising productivity among high-intensity exporters. Second, an</w:t>
      </w:r>
      <w:r>
        <w:t xml:space="preserve"> </w:t>
      </w:r>
      <w:r>
        <w:rPr>
          <w:iCs/>
          <w:i/>
        </w:rPr>
        <w:t xml:space="preserve">amplification</w:t>
      </w:r>
      <w:r>
        <w:t xml:space="preserve"> </w:t>
      </w:r>
      <w:r>
        <w:t xml:space="preserve">mechanism would predict that digital adoption raises the marginal productivity return to each unit of export intensity, effectively rotating the I–P curve upward for high-DAI firms rather than merely shifting it. The positive quadratic interaction (β=+3.119, p=.005) is most consistent with amplification: DAI specifically elevates productivity in the high-export tail where cross-border coordination demands are densest, and the positive quadratic form implies that DAI's productivity contribution accelerates rather than merely shifts with export intensity. Third, a</w:t>
      </w:r>
      <w:r>
        <w:t xml:space="preserve"> </w:t>
      </w:r>
      <w:r>
        <w:rPr>
          <w:iCs/>
          <w:i/>
        </w:rPr>
        <w:t xml:space="preserve">selection</w:t>
      </w:r>
      <w:r>
        <w:t xml:space="preserve"> </w:t>
      </w:r>
      <w:r>
        <w:t xml:space="preserve">mechanism would predict that inherently more productive firms simultaneously select into high digital adoption and high export intensity, producing a spurious interaction in cross-sectional data. The robustness of the positive quadratic interaction across sample restrictions and indicator-sensitivity diagnostics is inconsistent with a pure selection story, but the absence of an instrument for digital adoption means selection cannot be fully ruled out. The most parsimonious reading is therefore that the Singapore evidence is consistent with amplification as the primary mechanism, with the caveat that the selection confound cannot be excluded without stronger causal identification.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Construct-scope note.</w:t>
      </w:r>
      <w:r>
        <w:t xml:space="preserve"> </w:t>
      </w:r>
      <w:r>
        <w:t xml:space="preserve">The DAI construct in this paper (Tier 1+2: website presence c22b + electronic payment intensity k33/k38) is comparatively comprehensive: it combines a Tier 1 digital-presence binary with Tier 2 transaction-enabling indicators. In contexts where only the Tier 1 binary is available, the contingent digital-complementarity mechanism would be expected to be harder to detect because Tier 1 indicators saturate faster than Tier 2 transaction-volume indicators. The positive quadratic interaction documented here (β = +3.119, p = .005) reflects the discriminatory power that Tier 2 e-payment intensity contributes to the composite. The present findings document the Advanced end of the institutional spectrum, where this conditional digital-complementarity mechanism is most legible because domestic Tier 1 saturation removes a confounding uniform-premium effect.</w:t>
      </w:r>
    </w:p>
    <w:bookmarkEnd w:id="58"/>
    <w:bookmarkStart w:id="59" w:name="Xa4e692b259d9b803bab54ad026a7e8d888a5d2c"/>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for all firms equally.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p>
    <w:bookmarkEnd w:id="59"/>
    <w:bookmarkEnd w:id="60"/>
    <w:bookmarkStart w:id="61" w:name="X6b297cc947e0db5526be369b1f0f4ddc67b2415"/>
    <w:p>
      <w:pPr>
        <w:pStyle w:val="Heading2"/>
      </w:pPr>
      <w:r>
        <w:t xml:space="preserve">6 Conclusion</w:t>
      </w:r>
    </w:p>
    <w:p>
      <w:pPr>
        <w:pStyle w:val="FirstParagraph"/>
      </w:pP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shows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p>
    <w:bookmarkEnd w:id="61"/>
    <w:bookmarkStart w:id="62" w:name="X422fdd10c3908fe492ea939b97371c73422dbba"/>
    <w:p>
      <w:pPr>
        <w:pStyle w:val="Heading2"/>
      </w:pPr>
      <w:r>
        <w:t xml:space="preserve">7 Limitations and Future Research</w:t>
      </w:r>
    </w:p>
    <w:p>
      <w:pPr>
        <w:pStyle w:val="FirstParagraph"/>
      </w:pPr>
      <w:r>
        <w:t xml:space="preserve">Three limitations warrant caution in interpreting the findings. First, the analysis is based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is therefore that the study documents how these variables co-vary in Singapore rather than establishing a causal mechanism.</w:t>
      </w:r>
      <w:r>
        <w:t xml:space="preserve"> </w:t>
      </w:r>
      <w:r>
        <w:t xml:space="preserve">Second, the sample contains a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Third, the estimated digital-adoption effect should be interpreted within the measurement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p>
    <w:bookmarkEnd w:id="62"/>
    <w:bookmarkStart w:id="64" w:name="data-availability-statement"/>
    <w:p>
      <w:pPr>
        <w:pStyle w:val="Heading2"/>
      </w:pPr>
      <w:r>
        <w:t xml:space="preserve">Data Availability Statement</w:t>
      </w:r>
    </w:p>
    <w:p>
      <w:pPr>
        <w:pStyle w:val="FirstParagraph"/>
      </w:pPr>
      <w:r>
        <w:t xml:space="preserve">The data analyzed in this study are from the World Bank Enterprise Survey (WBES) Singapore 2023 wave, publicly available at</w:t>
      </w:r>
      <w:r>
        <w:t xml:space="preserve"> </w:t>
      </w:r>
      <w:hyperlink r:id="rId63">
        <w:r>
          <w:rPr>
            <w:rStyle w:val="Hyperlink"/>
          </w:rPr>
          <w:t xml:space="preserve">https://www.enterprisesurveys.org</w:t>
        </w:r>
      </w:hyperlink>
      <w:r>
        <w:t xml:space="preserve">. Analysis scripts to replicate the results are available from the corresponding author on reasonable request.</w:t>
      </w:r>
    </w:p>
    <w:p>
      <w:r>
        <w:pict>
          <v:rect style="width:0;height:1.5pt" o:hralign="center" o:hrstd="t" o:hr="t"/>
        </w:pict>
      </w:r>
    </w:p>
    <w:bookmarkEnd w:id="64"/>
    <w:bookmarkStart w:id="94"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w:t>
      </w:r>
      <w:r>
        <w:t xml:space="preserve">,</w:t>
      </w:r>
      <w:r>
        <w:t xml:space="preserve"> </w:t>
      </w:r>
      <w:r>
        <w:rPr>
          <w:iCs/>
          <w:i/>
        </w:rPr>
        <w:t xml:space="preserve">90</w:t>
      </w:r>
      <w:r>
        <w:t xml:space="preserve">(1), 94–107.</w:t>
      </w:r>
      <w:r>
        <w:t xml:space="preserve"> </w:t>
      </w:r>
      <w:hyperlink r:id="rId65">
        <w:r>
          <w:rPr>
            <w:rStyle w:val="Hyperlink"/>
          </w:rPr>
          <w:t xml:space="preserve">https://doi.org/10.1037/0021-9010.90.1.94</w:t>
        </w:r>
      </w:hyperlink>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w:t>
      </w:r>
      <w:r>
        <w:t xml:space="preserve">,</w:t>
      </w:r>
      <w:r>
        <w:t xml:space="preserve"> </w:t>
      </w:r>
      <w:r>
        <w:rPr>
          <w:iCs/>
          <w:i/>
        </w:rPr>
        <w:t xml:space="preserve">21</w:t>
      </w:r>
      <w:r>
        <w:t xml:space="preserve">(6), 1086–1120.</w:t>
      </w:r>
      <w:r>
        <w:t xml:space="preserve"> </w:t>
      </w:r>
      <w:hyperlink r:id="rId66">
        <w:r>
          <w:rPr>
            <w:rStyle w:val="Hyperlink"/>
          </w:rPr>
          <w:t xml:space="preserve">https://doi.org/10.1016/j.leaqua.2010.10.010</w:t>
        </w:r>
      </w:hyperlink>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w:t>
      </w:r>
      <w:r>
        <w:t xml:space="preserve">,</w:t>
      </w:r>
      <w:r>
        <w:t xml:space="preserve"> </w:t>
      </w:r>
      <w:r>
        <w:rPr>
          <w:iCs/>
          <w:i/>
        </w:rPr>
        <w:t xml:space="preserve">33</w:t>
      </w:r>
      <w:r>
        <w:t xml:space="preserve">(2), 304–329.</w:t>
      </w:r>
      <w:r>
        <w:t xml:space="preserve"> </w:t>
      </w:r>
      <w:hyperlink r:id="rId67">
        <w:r>
          <w:rPr>
            <w:rStyle w:val="Hyperlink"/>
          </w:rPr>
          <w:t xml:space="preserve">https://doi.org/10.1057/s41287-020-00328-2</w:t>
        </w:r>
      </w:hyperlink>
      <w:r>
        <w:t xml:space="preserve"> </w:t>
      </w:r>
      <w:r>
        <w:t xml:space="preserve">Banalieva, E. R., &amp; Dhanaraj, C. (2019). Internalization theory for the digital economy.</w:t>
      </w:r>
      <w:r>
        <w:t xml:space="preserve"> </w:t>
      </w:r>
      <w:r>
        <w:rPr>
          <w:iCs/>
          <w:i/>
        </w:rPr>
        <w:t xml:space="preserve">Journal of International Business Studies</w:t>
      </w:r>
      <w:r>
        <w:t xml:space="preserve">,</w:t>
      </w:r>
      <w:r>
        <w:t xml:space="preserve"> </w:t>
      </w:r>
      <w:r>
        <w:rPr>
          <w:iCs/>
          <w:i/>
        </w:rPr>
        <w:t xml:space="preserve">50</w:t>
      </w:r>
      <w:r>
        <w:t xml:space="preserve">(8), 1372–1387.</w:t>
      </w:r>
      <w:r>
        <w:t xml:space="preserve"> </w:t>
      </w:r>
      <w:hyperlink r:id="rId68">
        <w:r>
          <w:rPr>
            <w:rStyle w:val="Hyperlink"/>
          </w:rPr>
          <w:t xml:space="preserve">https://doi.org/10.1057/s41267-019-00243-7</w:t>
        </w:r>
      </w:hyperlink>
      <w:r>
        <w:t xml:space="preserve"> </w:t>
      </w: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w:t>
      </w:r>
      <w:r>
        <w:t xml:space="preserve"> </w:t>
      </w:r>
      <w:hyperlink r:id="rId69">
        <w:r>
          <w:rPr>
            <w:rStyle w:val="Hyperlink"/>
          </w:rPr>
          <w:t xml:space="preserve">https://doi.org/10.1177/014920639101700108</w:t>
        </w:r>
      </w:hyperlink>
      <w:r>
        <w:t xml:space="preserve"> </w:t>
      </w:r>
      <w:r>
        <w:t xml:space="preserve">Bharadwaj, A., El Sawy, O. A., Pavlou, P. A., &amp; Venkatraman, N. (2013). Digital business strategy: Toward a next generation of insights.</w:t>
      </w:r>
      <w:r>
        <w:t xml:space="preserve"> </w:t>
      </w:r>
      <w:r>
        <w:rPr>
          <w:iCs/>
          <w:i/>
        </w:rPr>
        <w:t xml:space="preserve">MIS Quarterly</w:t>
      </w:r>
      <w:r>
        <w:t xml:space="preserve">,</w:t>
      </w:r>
      <w:r>
        <w:t xml:space="preserve"> </w:t>
      </w:r>
      <w:r>
        <w:rPr>
          <w:iCs/>
          <w:i/>
        </w:rPr>
        <w:t xml:space="preserve">37</w:t>
      </w:r>
      <w:r>
        <w:t xml:space="preserve">(2), 471–482.</w:t>
      </w:r>
      <w:r>
        <w:t xml:space="preserve"> </w:t>
      </w:r>
      <w:hyperlink r:id="rId70">
        <w:r>
          <w:rPr>
            <w:rStyle w:val="Hyperlink"/>
          </w:rPr>
          <w:t xml:space="preserve">https://doi.org/10.25300/MISQ/2013/37:2.3</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w:t>
      </w:r>
      <w:r>
        <w:t xml:space="preserve"> </w:t>
      </w:r>
      <w:r>
        <w:rPr>
          <w:iCs/>
          <w:i/>
        </w:rPr>
        <w:t xml:space="preserve">13</w:t>
      </w:r>
      <w:r>
        <w:t xml:space="preserve">(1), 333–372.</w:t>
      </w:r>
      <w:r>
        <w:t xml:space="preserve"> </w:t>
      </w:r>
      <w:hyperlink r:id="rId71">
        <w:r>
          <w:rPr>
            <w:rStyle w:val="Hyperlink"/>
          </w:rPr>
          <w:t xml:space="preserve">https://doi.org/10.1257/mac.20180386</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w:t>
      </w:r>
      <w:r>
        <w:t xml:space="preserve">,</w:t>
      </w:r>
      <w:r>
        <w:t xml:space="preserve"> </w:t>
      </w:r>
      <w:r>
        <w:rPr>
          <w:iCs/>
          <w:i/>
        </w:rPr>
        <w:t xml:space="preserve">35</w:t>
      </w:r>
      <w:r>
        <w:t xml:space="preserve">(1), 128–152.</w:t>
      </w:r>
      <w:r>
        <w:t xml:space="preserve"> </w:t>
      </w:r>
      <w:hyperlink r:id="rId72">
        <w:r>
          <w:rPr>
            <w:rStyle w:val="Hyperlink"/>
          </w:rPr>
          <w:t xml:space="preserve">https://doi.org/10.2307/2393553</w:t>
        </w:r>
      </w:hyperlink>
      <w:r>
        <w:t xml:space="preserve"> </w:t>
      </w:r>
      <w:r>
        <w:t xml:space="preserve">Coase, R. H. (1937). The nature of the firm.</w:t>
      </w:r>
      <w:r>
        <w:t xml:space="preserve"> </w:t>
      </w:r>
      <w:r>
        <w:rPr>
          <w:iCs/>
          <w:i/>
        </w:rPr>
        <w:t xml:space="preserve">Economica</w:t>
      </w:r>
      <w:r>
        <w:t xml:space="preserve">,</w:t>
      </w:r>
      <w:r>
        <w:t xml:space="preserve"> </w:t>
      </w:r>
      <w:r>
        <w:rPr>
          <w:iCs/>
          <w:i/>
        </w:rPr>
        <w:t xml:space="preserve">4</w:t>
      </w:r>
      <w:r>
        <w:t xml:space="preserve">(16), 386–405.</w:t>
      </w:r>
      <w:r>
        <w:t xml:space="preserve"> </w:t>
      </w:r>
      <w:hyperlink r:id="rId73">
        <w:r>
          <w:rPr>
            <w:rStyle w:val="Hyperlink"/>
          </w:rPr>
          <w:t xml:space="preserve">https://doi.org/10.1111/j.1468-0335.1937.tb00002.x</w:t>
        </w:r>
      </w:hyperlink>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w:t>
      </w:r>
      <w:r>
        <w:t xml:space="preserve">,</w:t>
      </w:r>
      <w:r>
        <w:t xml:space="preserve"> </w:t>
      </w:r>
      <w:r>
        <w:rPr>
          <w:iCs/>
          <w:i/>
        </w:rPr>
        <w:t xml:space="preserve">61</w:t>
      </w:r>
      <w:r>
        <w:t xml:space="preserve">(12), 1250–1262.</w:t>
      </w:r>
      <w:r>
        <w:t xml:space="preserve"> </w:t>
      </w:r>
      <w:hyperlink r:id="rId74">
        <w:r>
          <w:rPr>
            <w:rStyle w:val="Hyperlink"/>
          </w:rPr>
          <w:t xml:space="preserve">https://doi.org/10.1016/j.jbusres.2008.01.013</w:t>
        </w:r>
      </w:hyperlink>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w:t>
      </w:r>
      <w:r>
        <w:t xml:space="preserve"> </w:t>
      </w:r>
      <w:r>
        <w:rPr>
          <w:iCs/>
          <w:i/>
        </w:rPr>
        <w:t xml:space="preserve">34</w:t>
      </w:r>
      <w:r>
        <w:t xml:space="preserve">(1), 5–18.</w:t>
      </w:r>
      <w:r>
        <w:t xml:space="preserve"> </w:t>
      </w:r>
      <w:hyperlink r:id="rId75">
        <w:r>
          <w:rPr>
            <w:rStyle w:val="Hyperlink"/>
          </w:rPr>
          <w:t xml:space="preserve">https://doi.org/10.1057/palgrave.jibs.8400003</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w:t>
      </w:r>
      <w:r>
        <w:t xml:space="preserve"> </w:t>
      </w:r>
      <w:r>
        <w:rPr>
          <w:iCs/>
          <w:i/>
        </w:rPr>
        <w:t xml:space="preserve">37</w:t>
      </w:r>
      <w:r>
        <w:t xml:space="preserve">(7), 1177–1195.</w:t>
      </w:r>
      <w:r>
        <w:t xml:space="preserve"> </w:t>
      </w:r>
      <w:hyperlink r:id="rId76">
        <w:r>
          <w:rPr>
            <w:rStyle w:val="Hyperlink"/>
          </w:rPr>
          <w:t xml:space="preserve">https://doi.org/10.1002/smj.2399</w:t>
        </w:r>
      </w:hyperlink>
      <w:r>
        <w:t xml:space="preserve"> </w:t>
      </w:r>
      <w:r>
        <w:t xml:space="preserve">Hambrick, D. C., &amp; Mason, P. A. (1984). Upper echelons: The organization as a reflection of its top managers.</w:t>
      </w:r>
      <w:r>
        <w:t xml:space="preserve"> </w:t>
      </w:r>
      <w:r>
        <w:rPr>
          <w:iCs/>
          <w:i/>
        </w:rPr>
        <w:t xml:space="preserve">Academy of Management Review</w:t>
      </w:r>
      <w:r>
        <w:t xml:space="preserve">,</w:t>
      </w:r>
      <w:r>
        <w:t xml:space="preserve"> </w:t>
      </w:r>
      <w:r>
        <w:rPr>
          <w:iCs/>
          <w:i/>
        </w:rPr>
        <w:t xml:space="preserve">9</w:t>
      </w:r>
      <w:r>
        <w:t xml:space="preserve">(2), 193–206.</w:t>
      </w:r>
      <w:r>
        <w:t xml:space="preserve"> </w:t>
      </w:r>
      <w:hyperlink r:id="rId77">
        <w:r>
          <w:rPr>
            <w:rStyle w:val="Hyperlink"/>
          </w:rPr>
          <w:t xml:space="preserve">https://doi.org/10.5465/amr.1984.4277628</w:t>
        </w:r>
      </w:hyperlink>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w:t>
      </w:r>
      <w:r>
        <w:t xml:space="preserve"> </w:t>
      </w:r>
      <w:r>
        <w:rPr>
          <w:iCs/>
          <w:i/>
        </w:rPr>
        <w:t xml:space="preserve">40</w:t>
      </w:r>
      <w:r>
        <w:t xml:space="preserve">(4), 767–798.</w:t>
      </w:r>
      <w:r>
        <w:t xml:space="preserve"> </w:t>
      </w:r>
      <w:hyperlink r:id="rId78">
        <w:r>
          <w:rPr>
            <w:rStyle w:val="Hyperlink"/>
          </w:rPr>
          <w:t xml:space="preserve">https://doi.org/10.5465/256948</w:t>
        </w:r>
      </w:hyperlink>
      <w:r>
        <w:t xml:space="preserve"> </w:t>
      </w:r>
      <w:r>
        <w:t xml:space="preserve">Krammer, S. M. S., Strange, R., &amp; Lashitew, A. (2018). The export performance of emerging economy firms.</w:t>
      </w:r>
      <w:r>
        <w:t xml:space="preserve"> </w:t>
      </w:r>
      <w:r>
        <w:rPr>
          <w:iCs/>
          <w:i/>
        </w:rPr>
        <w:t xml:space="preserve">International Business Review</w:t>
      </w:r>
      <w:r>
        <w:t xml:space="preserve">,</w:t>
      </w:r>
      <w:r>
        <w:t xml:space="preserve"> </w:t>
      </w:r>
      <w:r>
        <w:rPr>
          <w:iCs/>
          <w:i/>
        </w:rPr>
        <w:t xml:space="preserve">27</w:t>
      </w:r>
      <w:r>
        <w:t xml:space="preserve">(1), 218–230.</w:t>
      </w:r>
      <w:r>
        <w:t xml:space="preserve"> </w:t>
      </w:r>
      <w:hyperlink r:id="rId79">
        <w:r>
          <w:rPr>
            <w:rStyle w:val="Hyperlink"/>
          </w:rPr>
          <w:t xml:space="preserve">https://doi.org/10.1016/j.ibusrev.2017.07.003</w:t>
        </w:r>
      </w:hyperlink>
      <w:r>
        <w:t xml:space="preserve"> </w:t>
      </w:r>
      <w:r>
        <w:t xml:space="preserve">Lall, S. (1992). Technological capabilities and industrialization.</w:t>
      </w:r>
      <w:r>
        <w:t xml:space="preserve"> </w:t>
      </w:r>
      <w:r>
        <w:rPr>
          <w:iCs/>
          <w:i/>
        </w:rPr>
        <w:t xml:space="preserve">World Development</w:t>
      </w:r>
      <w:r>
        <w:t xml:space="preserve">,</w:t>
      </w:r>
      <w:r>
        <w:t xml:space="preserve"> </w:t>
      </w:r>
      <w:r>
        <w:rPr>
          <w:iCs/>
          <w:i/>
        </w:rPr>
        <w:t xml:space="preserve">20</w:t>
      </w:r>
      <w:r>
        <w:t xml:space="preserve">(2), 165–186.</w:t>
      </w:r>
      <w:r>
        <w:t xml:space="preserve"> </w:t>
      </w:r>
      <w:hyperlink r:id="rId80">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w:t>
      </w:r>
      <w:r>
        <w:t xml:space="preserve">,</w:t>
      </w:r>
      <w:r>
        <w:t xml:space="preserve"> </w:t>
      </w:r>
      <w:r>
        <w:rPr>
          <w:iCs/>
          <w:i/>
        </w:rPr>
        <w:t xml:space="preserve">72</w:t>
      </w:r>
      <w:r>
        <w:t xml:space="preserve">(1), 109–118.</w:t>
      </w:r>
      <w:r>
        <w:t xml:space="preserve"> </w:t>
      </w:r>
      <w:hyperlink r:id="rId81">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w:t>
      </w:r>
      <w:r>
        <w:t xml:space="preserve">,</w:t>
      </w:r>
      <w:r>
        <w:t xml:space="preserve"> </w:t>
      </w:r>
      <w:r>
        <w:rPr>
          <w:iCs/>
          <w:i/>
        </w:rPr>
        <w:t xml:space="preserve">47</w:t>
      </w:r>
      <w:r>
        <w:t xml:space="preserve">(4), 598–609.</w:t>
      </w:r>
      <w:r>
        <w:t xml:space="preserve"> </w:t>
      </w:r>
      <w:hyperlink r:id="rId82">
        <w:r>
          <w:rPr>
            <w:rStyle w:val="Hyperlink"/>
          </w:rPr>
          <w:t xml:space="preserve">https://doi.org/10.5465/20159604</w:t>
        </w:r>
      </w:hyperlink>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w:t>
      </w:r>
      <w:r>
        <w:t xml:space="preserve"> </w:t>
      </w:r>
      <w:r>
        <w:rPr>
          <w:iCs/>
          <w:i/>
        </w:rPr>
        <w:t xml:space="preserve">29</w:t>
      </w:r>
      <w:r>
        <w:t xml:space="preserve">(3), 305–325.</w:t>
      </w:r>
      <w:r>
        <w:t xml:space="preserve"> </w:t>
      </w:r>
      <w:hyperlink r:id="rId83">
        <w:r>
          <w:rPr>
            <w:rStyle w:val="Hyperlink"/>
          </w:rPr>
          <w:t xml:space="preserve">https://doi.org/10.1016/0304-4076(85)90158-7</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w:t>
      </w:r>
      <w:r>
        <w:t xml:space="preserve"> </w:t>
      </w:r>
      <w:r>
        <w:rPr>
          <w:iCs/>
          <w:i/>
        </w:rPr>
        <w:t xml:space="preserve">42</w:t>
      </w:r>
      <w:r>
        <w:t xml:space="preserve">(5), 1075–1110.</w:t>
      </w:r>
      <w:r>
        <w:t xml:space="preserve"> </w:t>
      </w:r>
      <w:hyperlink r:id="rId84">
        <w:r>
          <w:rPr>
            <w:rStyle w:val="Hyperlink"/>
          </w:rPr>
          <w:t xml:space="preserve">https://doi.org/10.1177/0149206315624963</w:t>
        </w:r>
      </w:hyperlink>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w:t>
      </w:r>
      <w:r>
        <w:t xml:space="preserve">,</w:t>
      </w:r>
      <w:r>
        <w:t xml:space="preserve"> </w:t>
      </w:r>
      <w:r>
        <w:rPr>
          <w:iCs/>
          <w:i/>
        </w:rPr>
        <w:t xml:space="preserve">48</w:t>
      </w:r>
      <w:r>
        <w:t xml:space="preserve">(5), 535–551.</w:t>
      </w:r>
      <w:r>
        <w:t xml:space="preserve"> </w:t>
      </w:r>
      <w:hyperlink r:id="rId85">
        <w:r>
          <w:rPr>
            <w:rStyle w:val="Hyperlink"/>
          </w:rPr>
          <w:t xml:space="preserve">https://doi.org/10.1057/s41267-017-0078-8</w:t>
        </w:r>
      </w:hyperlink>
      <w:r>
        <w:t xml:space="preserve"> </w:t>
      </w:r>
      <w:r>
        <w:t xml:space="preserve">O’Brien, R. M. (2007). A caution regarding rules of thumb for variance inflation factors.</w:t>
      </w:r>
      <w:r>
        <w:t xml:space="preserve"> </w:t>
      </w:r>
      <w:r>
        <w:rPr>
          <w:iCs/>
          <w:i/>
        </w:rPr>
        <w:t xml:space="preserve">Quality &amp; Quantity</w:t>
      </w:r>
      <w:r>
        <w:t xml:space="preserve">,</w:t>
      </w:r>
      <w:r>
        <w:t xml:space="preserve"> </w:t>
      </w:r>
      <w:r>
        <w:rPr>
          <w:iCs/>
          <w:i/>
        </w:rPr>
        <w:t xml:space="preserve">41</w:t>
      </w:r>
      <w:r>
        <w:t xml:space="preserve">(5), 673–690.</w:t>
      </w:r>
      <w:r>
        <w:t xml:space="preserve"> </w:t>
      </w:r>
      <w:hyperlink r:id="rId86">
        <w:r>
          <w:rPr>
            <w:rStyle w:val="Hyperlink"/>
          </w:rPr>
          <w:t xml:space="preserve">https://doi.org/10.1007/s11135-006-9018-6</w:t>
        </w:r>
      </w:hyperlink>
      <w:r>
        <w:t xml:space="preserve"> </w:t>
      </w:r>
      <w:r>
        <w:t xml:space="preserve">Peng, M. W. (2003). Institutional transitions and strategic choices.</w:t>
      </w:r>
      <w:r>
        <w:t xml:space="preserve"> </w:t>
      </w:r>
      <w:r>
        <w:rPr>
          <w:iCs/>
          <w:i/>
        </w:rPr>
        <w:t xml:space="preserve">Academy of Management Review</w:t>
      </w:r>
      <w:r>
        <w:t xml:space="preserve">,</w:t>
      </w:r>
      <w:r>
        <w:t xml:space="preserve"> </w:t>
      </w:r>
      <w:r>
        <w:rPr>
          <w:iCs/>
          <w:i/>
        </w:rPr>
        <w:t xml:space="preserve">28</w:t>
      </w:r>
      <w:r>
        <w:t xml:space="preserve">(2), 275–296.</w:t>
      </w:r>
      <w:r>
        <w:t xml:space="preserve"> </w:t>
      </w:r>
      <w:hyperlink r:id="rId87">
        <w:r>
          <w:rPr>
            <w:rStyle w:val="Hyperlink"/>
          </w:rPr>
          <w:t xml:space="preserve">https://doi.org/10.5465/amr.2003.9416341</w:t>
        </w:r>
      </w:hyperlink>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w:t>
      </w:r>
      <w:r>
        <w:t xml:space="preserve"> </w:t>
      </w:r>
      <w:r>
        <w:rPr>
          <w:iCs/>
          <w:i/>
        </w:rPr>
        <w:t xml:space="preserve">39</w:t>
      </w:r>
      <w:r>
        <w:t xml:space="preserve">(5), 920–936.</w:t>
      </w:r>
      <w:r>
        <w:t xml:space="preserve"> </w:t>
      </w:r>
      <w:hyperlink r:id="rId88">
        <w:r>
          <w:rPr>
            <w:rStyle w:val="Hyperlink"/>
          </w:rPr>
          <w:t xml:space="preserve">https://doi.org/10.1057/palgrave.jibs.8400377</w:t>
        </w:r>
      </w:hyperlink>
      <w:r>
        <w:t xml:space="preserve"> </w:t>
      </w:r>
      <w:r>
        <w:t xml:space="preserve">Rugman, A. M., &amp; Verbeke, A. (2004). A perspective on regional and global strategies of multinational enterprises.</w:t>
      </w:r>
      <w:r>
        <w:t xml:space="preserve"> </w:t>
      </w:r>
      <w:r>
        <w:rPr>
          <w:iCs/>
          <w:i/>
        </w:rPr>
        <w:t xml:space="preserve">Journal of International Business Studies</w:t>
      </w:r>
      <w:r>
        <w:t xml:space="preserve">,</w:t>
      </w:r>
      <w:r>
        <w:t xml:space="preserve"> </w:t>
      </w:r>
      <w:r>
        <w:rPr>
          <w:iCs/>
          <w:i/>
        </w:rPr>
        <w:t xml:space="preserve">35</w:t>
      </w:r>
      <w:r>
        <w:t xml:space="preserve">(1), 3–18.</w:t>
      </w:r>
      <w:r>
        <w:t xml:space="preserve"> </w:t>
      </w:r>
      <w:hyperlink r:id="rId89">
        <w:r>
          <w:rPr>
            <w:rStyle w:val="Hyperlink"/>
          </w:rPr>
          <w:t xml:space="preserve">https://doi.org/10.1057/palgrave.jibs.8400073</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w:t>
      </w:r>
      <w:r>
        <w:t xml:space="preserve">,</w:t>
      </w:r>
      <w:r>
        <w:t xml:space="preserve"> </w:t>
      </w:r>
      <w:r>
        <w:rPr>
          <w:iCs/>
          <w:i/>
        </w:rPr>
        <w:t xml:space="preserve">46</w:t>
      </w:r>
      <w:r>
        <w:t xml:space="preserve">(6), 1244–1256.</w:t>
      </w:r>
      <w:r>
        <w:t xml:space="preserve"> </w:t>
      </w:r>
      <w:hyperlink r:id="rId90">
        <w:r>
          <w:rPr>
            <w:rStyle w:val="Hyperlink"/>
          </w:rPr>
          <w:t xml:space="preserve">https://doi.org/10.1177/0149206319846272</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w:t>
      </w:r>
      <w:r>
        <w:t xml:space="preserve">,</w:t>
      </w:r>
      <w:r>
        <w:t xml:space="preserve"> </w:t>
      </w:r>
      <w:r>
        <w:rPr>
          <w:iCs/>
          <w:i/>
        </w:rPr>
        <w:t xml:space="preserve">11</w:t>
      </w:r>
      <w:r>
        <w:t xml:space="preserve">(1), 58–80.</w:t>
      </w:r>
      <w:r>
        <w:t xml:space="preserve"> </w:t>
      </w:r>
      <w:hyperlink r:id="rId91">
        <w:r>
          <w:rPr>
            <w:rStyle w:val="Hyperlink"/>
          </w:rPr>
          <w:t xml:space="preserve">https://doi.org/10.1002/gsj.1336</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w:t>
      </w:r>
      <w:r>
        <w:t xml:space="preserve"> </w:t>
      </w:r>
      <w:r>
        <w:rPr>
          <w:iCs/>
          <w:i/>
        </w:rPr>
        <w:t xml:space="preserve">122</w:t>
      </w:r>
      <w:r>
        <w:t xml:space="preserve">, 889–901.</w:t>
      </w:r>
      <w:r>
        <w:t xml:space="preserve"> </w:t>
      </w:r>
      <w:hyperlink r:id="rId92">
        <w:r>
          <w:rPr>
            <w:rStyle w:val="Hyperlink"/>
          </w:rPr>
          <w:t xml:space="preserve">https://doi.org/10.1016/j.jbusres.2019.09.022</w:t>
        </w:r>
      </w:hyperlink>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w:t>
      </w:r>
      <w:r>
        <w:t xml:space="preserve">,</w:t>
      </w:r>
      <w:r>
        <w:t xml:space="preserve"> </w:t>
      </w:r>
      <w:r>
        <w:rPr>
          <w:iCs/>
          <w:i/>
        </w:rPr>
        <w:t xml:space="preserve">40</w:t>
      </w:r>
      <w:r>
        <w:t xml:space="preserve">(3), 432–462.</w:t>
      </w:r>
      <w:r>
        <w:t xml:space="preserve"> </w:t>
      </w:r>
      <w:hyperlink r:id="rId93">
        <w:r>
          <w:rPr>
            <w:rStyle w:val="Hyperlink"/>
          </w:rPr>
          <w:t xml:space="preserve">https://doi.org/10.1002/smj.2995</w:t>
        </w:r>
      </w:hyperlink>
      <w:r>
        <w:t xml:space="preserve"> </w:t>
      </w:r>
      <w:r>
        <w:t xml:space="preserve">Williamson, O. E. (1985).</w:t>
      </w:r>
      <w:r>
        <w:t xml:space="preserve"> </w:t>
      </w:r>
      <w:r>
        <w:rPr>
          <w:iCs/>
          <w:i/>
        </w:rPr>
        <w:t xml:space="preserve">The economic institutions of capitalism: Firms, markets, relational contracting</w:t>
      </w:r>
      <w:r>
        <w:t xml:space="preserve">. Free Press.</w:t>
      </w:r>
      <w:r>
        <w:t xml:space="preserve"> </w:t>
      </w:r>
      <w:r>
        <w:t xml:space="preserve">World Bank. (2024).</w:t>
      </w:r>
      <w:r>
        <w:t xml:space="preserve"> </w:t>
      </w:r>
      <w:r>
        <w:rPr>
          <w:iCs/>
          <w:i/>
        </w:rPr>
        <w:t xml:space="preserve">World Bank Enterprise Survey: Singapore 2023</w:t>
      </w:r>
      <w:r>
        <w:t xml:space="preserve">.</w:t>
      </w:r>
      <w:r>
        <w:t xml:space="preserve"> </w:t>
      </w:r>
      <w:hyperlink r:id="rId63">
        <w:r>
          <w:rPr>
            <w:rStyle w:val="Hyperlink"/>
          </w:rPr>
          <w:t xml:space="preserve">https://www.enterprisesurveys.org</w:t>
        </w:r>
      </w:hyperlink>
    </w:p>
    <w:bookmarkEnd w:id="94"/>
    <w:bookmarkEnd w:id="9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91" Target="https://doi.org/10.1002/gsj.1336" TargetMode="External" /><Relationship Type="http://schemas.openxmlformats.org/officeDocument/2006/relationships/hyperlink" Id="rId76" Target="https://doi.org/10.1002/smj.2399" TargetMode="External" /><Relationship Type="http://schemas.openxmlformats.org/officeDocument/2006/relationships/hyperlink" Id="rId93" Target="https://doi.org/10.1002/smj.2995" TargetMode="External" /><Relationship Type="http://schemas.openxmlformats.org/officeDocument/2006/relationships/hyperlink" Id="rId86" Target="https://doi.org/10.1007/s11135-006-9018-6" TargetMode="External" /><Relationship Type="http://schemas.openxmlformats.org/officeDocument/2006/relationships/hyperlink" Id="rId83" Target="https://doi.org/10.1016/0304-4076(85)90158-7" TargetMode="External" /><Relationship Type="http://schemas.openxmlformats.org/officeDocument/2006/relationships/hyperlink" Id="rId80" Target="https://doi.org/10.1016/0305-750X(92)90097-F" TargetMode="External" /><Relationship Type="http://schemas.openxmlformats.org/officeDocument/2006/relationships/hyperlink" Id="rId79"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2" Target="https://doi.org/10.1016/j.jbusres.2019.09.022" TargetMode="External" /><Relationship Type="http://schemas.openxmlformats.org/officeDocument/2006/relationships/hyperlink" Id="rId66" Target="https://doi.org/10.1016/j.leaqua.2010.10.010" TargetMode="External" /><Relationship Type="http://schemas.openxmlformats.org/officeDocument/2006/relationships/hyperlink" Id="rId65" Target="https://doi.org/10.1037/0021-9010.90.1.94" TargetMode="External" /><Relationship Type="http://schemas.openxmlformats.org/officeDocument/2006/relationships/hyperlink" Id="rId75" Target="https://doi.org/10.1057/palgrave.jibs.8400003" TargetMode="External" /><Relationship Type="http://schemas.openxmlformats.org/officeDocument/2006/relationships/hyperlink" Id="rId89" Target="https://doi.org/10.1057/palgrave.jibs.8400073" TargetMode="External" /><Relationship Type="http://schemas.openxmlformats.org/officeDocument/2006/relationships/hyperlink" Id="rId88" Target="https://doi.org/10.1057/palgrave.jibs.8400377" TargetMode="External" /><Relationship Type="http://schemas.openxmlformats.org/officeDocument/2006/relationships/hyperlink" Id="rId85" Target="https://doi.org/10.1057/s41267-017-0078-8" TargetMode="External" /><Relationship Type="http://schemas.openxmlformats.org/officeDocument/2006/relationships/hyperlink" Id="rId68" Target="https://doi.org/10.1057/s41267-019-00243-7" TargetMode="External" /><Relationship Type="http://schemas.openxmlformats.org/officeDocument/2006/relationships/hyperlink" Id="rId67" Target="https://doi.org/10.1057/s41287-020-00328-2" TargetMode="External" /><Relationship Type="http://schemas.openxmlformats.org/officeDocument/2006/relationships/hyperlink" Id="rId81" Target="https://doi.org/10.1111/j.1468-0084.2009.00569.x" TargetMode="External" /><Relationship Type="http://schemas.openxmlformats.org/officeDocument/2006/relationships/hyperlink" Id="rId73" Target="https://doi.org/10.1111/j.1468-0335.1937.tb00002.x"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69" Target="https://doi.org/10.1177/014920639101700108" TargetMode="External" /><Relationship Type="http://schemas.openxmlformats.org/officeDocument/2006/relationships/hyperlink" Id="rId71" Target="https://doi.org/10.1257/mac.20180386" TargetMode="External" /><Relationship Type="http://schemas.openxmlformats.org/officeDocument/2006/relationships/hyperlink" Id="rId72" Target="https://doi.org/10.2307/2393553" TargetMode="External" /><Relationship Type="http://schemas.openxmlformats.org/officeDocument/2006/relationships/hyperlink" Id="rId70" Target="https://doi.org/10.25300/MISQ/2013/37:2.3" TargetMode="External" /><Relationship Type="http://schemas.openxmlformats.org/officeDocument/2006/relationships/hyperlink" Id="rId82" Target="https://doi.org/10.5465/20159604" TargetMode="External" /><Relationship Type="http://schemas.openxmlformats.org/officeDocument/2006/relationships/hyperlink" Id="rId78" Target="https://doi.org/10.5465/256948" TargetMode="External" /><Relationship Type="http://schemas.openxmlformats.org/officeDocument/2006/relationships/hyperlink" Id="rId77" Target="https://doi.org/10.5465/amr.1984.4277628" TargetMode="External" /><Relationship Type="http://schemas.openxmlformats.org/officeDocument/2006/relationships/hyperlink" Id="rId87" Target="https://doi.org/10.5465/amr.2003.9416341" TargetMode="External" /><Relationship Type="http://schemas.openxmlformats.org/officeDocument/2006/relationships/hyperlink" Id="rId63"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02/gsj.1336" TargetMode="External" /><Relationship Type="http://schemas.openxmlformats.org/officeDocument/2006/relationships/hyperlink" Id="rId76" Target="https://doi.org/10.1002/smj.2399" TargetMode="External" /><Relationship Type="http://schemas.openxmlformats.org/officeDocument/2006/relationships/hyperlink" Id="rId93" Target="https://doi.org/10.1002/smj.2995" TargetMode="External" /><Relationship Type="http://schemas.openxmlformats.org/officeDocument/2006/relationships/hyperlink" Id="rId86" Target="https://doi.org/10.1007/s11135-006-9018-6" TargetMode="External" /><Relationship Type="http://schemas.openxmlformats.org/officeDocument/2006/relationships/hyperlink" Id="rId83" Target="https://doi.org/10.1016/0304-4076(85)90158-7" TargetMode="External" /><Relationship Type="http://schemas.openxmlformats.org/officeDocument/2006/relationships/hyperlink" Id="rId80" Target="https://doi.org/10.1016/0305-750X(92)90097-F" TargetMode="External" /><Relationship Type="http://schemas.openxmlformats.org/officeDocument/2006/relationships/hyperlink" Id="rId79"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2" Target="https://doi.org/10.1016/j.jbusres.2019.09.022" TargetMode="External" /><Relationship Type="http://schemas.openxmlformats.org/officeDocument/2006/relationships/hyperlink" Id="rId66" Target="https://doi.org/10.1016/j.leaqua.2010.10.010" TargetMode="External" /><Relationship Type="http://schemas.openxmlformats.org/officeDocument/2006/relationships/hyperlink" Id="rId65" Target="https://doi.org/10.1037/0021-9010.90.1.94" TargetMode="External" /><Relationship Type="http://schemas.openxmlformats.org/officeDocument/2006/relationships/hyperlink" Id="rId75" Target="https://doi.org/10.1057/palgrave.jibs.8400003" TargetMode="External" /><Relationship Type="http://schemas.openxmlformats.org/officeDocument/2006/relationships/hyperlink" Id="rId89" Target="https://doi.org/10.1057/palgrave.jibs.8400073" TargetMode="External" /><Relationship Type="http://schemas.openxmlformats.org/officeDocument/2006/relationships/hyperlink" Id="rId88" Target="https://doi.org/10.1057/palgrave.jibs.8400377" TargetMode="External" /><Relationship Type="http://schemas.openxmlformats.org/officeDocument/2006/relationships/hyperlink" Id="rId85" Target="https://doi.org/10.1057/s41267-017-0078-8" TargetMode="External" /><Relationship Type="http://schemas.openxmlformats.org/officeDocument/2006/relationships/hyperlink" Id="rId68" Target="https://doi.org/10.1057/s41267-019-00243-7" TargetMode="External" /><Relationship Type="http://schemas.openxmlformats.org/officeDocument/2006/relationships/hyperlink" Id="rId67" Target="https://doi.org/10.1057/s41287-020-00328-2" TargetMode="External" /><Relationship Type="http://schemas.openxmlformats.org/officeDocument/2006/relationships/hyperlink" Id="rId81" Target="https://doi.org/10.1111/j.1468-0084.2009.00569.x" TargetMode="External" /><Relationship Type="http://schemas.openxmlformats.org/officeDocument/2006/relationships/hyperlink" Id="rId73" Target="https://doi.org/10.1111/j.1468-0335.1937.tb00002.x"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69" Target="https://doi.org/10.1177/014920639101700108" TargetMode="External" /><Relationship Type="http://schemas.openxmlformats.org/officeDocument/2006/relationships/hyperlink" Id="rId71" Target="https://doi.org/10.1257/mac.20180386" TargetMode="External" /><Relationship Type="http://schemas.openxmlformats.org/officeDocument/2006/relationships/hyperlink" Id="rId72" Target="https://doi.org/10.2307/2393553" TargetMode="External" /><Relationship Type="http://schemas.openxmlformats.org/officeDocument/2006/relationships/hyperlink" Id="rId70" Target="https://doi.org/10.25300/MISQ/2013/37:2.3" TargetMode="External" /><Relationship Type="http://schemas.openxmlformats.org/officeDocument/2006/relationships/hyperlink" Id="rId82" Target="https://doi.org/10.5465/20159604" TargetMode="External" /><Relationship Type="http://schemas.openxmlformats.org/officeDocument/2006/relationships/hyperlink" Id="rId78" Target="https://doi.org/10.5465/256948" TargetMode="External" /><Relationship Type="http://schemas.openxmlformats.org/officeDocument/2006/relationships/hyperlink" Id="rId77" Target="https://doi.org/10.5465/amr.1984.4277628" TargetMode="External" /><Relationship Type="http://schemas.openxmlformats.org/officeDocument/2006/relationships/hyperlink" Id="rId87" Target="https://doi.org/10.5465/amr.2003.9416341" TargetMode="External" /><Relationship Type="http://schemas.openxmlformats.org/officeDocument/2006/relationships/hyperlink" Id="rId63"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2026-05-20T19:26:33Z</dcterms:created>
  <dcterms:modified xsi:type="dcterms:W3CDTF">2026-05-20T19:26:33Z</dcterms:modified>
</cp:coreProperties>
</file>

<file path=docProps/custom.xml><?xml version="1.0" encoding="utf-8"?>
<Properties xmlns="http://schemas.openxmlformats.org/officeDocument/2006/custom-properties" xmlns:vt="http://schemas.openxmlformats.org/officeDocument/2006/docPropsVTypes"/>
</file>