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36.137</m:t>
        </m:r>
      </m:oMath>
      <w:r>
        <w:t xml:space="preserve">) — đều chỉ đến cùng một kết luận: điểm uốn (turning point) của quan hệ I→P tăng dần theo chiều từ SIDS/Frontier lên Emerging, Upper-middle, Advanced Resource, và Advanced Innovation.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 "digital shield effect" phát huy mạnh nhất khi nền tảng thể chế còn thiếu hụt, bù đắp cho các "institutional voids".</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(bản thảo đang chuẩn bị, Đỗ &amp; Phan, 2026): kiểm định toàn mẫu châu Á</w:t>
      </w:r>
      <w:r>
        <w:t xml:space="preserve"> </w:t>
      </w:r>
      <m:oMath>
        <m:r>
          <m:t>N</m:t>
        </m:r>
        <m:r>
          <m:rPr>
            <m:sty m:val="p"/>
          </m:rPr>
          <m:t>=</m:t>
        </m:r>
        <m:r>
          <m:t>36.137</m:t>
        </m:r>
      </m:oMath>
      <w:r>
        <w:t xml:space="preserve">, TP = 52,7%, gradient ICRV xác nhận, TCI dương và có ý nghĩa, DAI chỉ có ý nghĩa trong Advanced.</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36.137 doanh nghiệp ở 47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tăng dần của chất lượng thể chế theo ICRV.</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2026-05-15T17:28:58Z</dcterms:created>
  <dcterms:modified xsi:type="dcterms:W3CDTF">2026-05-15T17:28:58Z</dcterms:modified>
</cp:coreProperties>
</file>

<file path=docProps/custom.xml><?xml version="1.0" encoding="utf-8"?>
<Properties xmlns="http://schemas.openxmlformats.org/officeDocument/2006/custom-properties" xmlns:vt="http://schemas.openxmlformats.org/officeDocument/2006/docPropsVTypes"/>
</file>