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hóa–hiệu quả (internationalization–performance — I–P) gồm tuyến tính, chữ U ngược, S-curve, M-curve, và chi phí buộc phải quốc tế hóa (forced penalty), cùng năm phân tích tổng hợp (meta-analysis) lớn giai đoạn 1980-2024, cho thấy khoảng trống thực nghiệm trong việc kiểm định đồng thời phi tuyến và tác động điều tiết đa tầng ở châu Á. Hệ giả thuyết H1-H6 được phát triển: H1 phi tuyến dạng chữ U ngược hoặc S-curve; H2 năng lực công nghệ (Technological Capability Index — TCI) điều tiết tích cực; H3a-H3b năng lực số (Digital Adoption Index — DAI) điều tiết phụ thuộc chế độ thể chế: có điều kiện ở nhóm đang nổi/cận biên (Emerging/Frontier) (H3a, dương trong OLS nhưng phụ thuộc bối cảnh và có thể null trong kiểm định nhân quả) và có điều kiện/null ở nhóm tiên tiến (Advanced) (H3b), phân biệt với TCI; H4 (kiểm soát quản trị nội sinh) đưa đặc điểm nhà quản trị (kinh nghiệm, học vấn, giới tính) vào như nhóm biến kiểm soát quản trị nội sinh, không phải biến điều tiết (moderator) trọng tâm, nhằm khóa chặt thiên lệch nội sinh phát sinh từ năng lực và sự đa dạng giới của nhà quản trị và bảo vệ tính nhân quả thuần khiết của tương tác Thể chế × Công nghệ; H5 thể chế nội địa điều tiết theo dải biến thiên (gradient) ICRV sáu nhóm; H6 tính không đồng nhất theo thời gian. Bốn biến điều tiết trọng tâm của khung là TCI (H2), DAI (H3), chế độ thể chế ICRV (H5), và thời gian (H6). Tám mô hình thực nghiệm M0-M7 được đặc tả, từ mức cơ sở (baseline) tuyến tính đến mô hình điều tiết ba chiều cấp luận án. Chiến lược nhận dạng đa tầng và kế hoạch kiểm định độ vững toàn diện được thiết kế cho nhóm dữ liệu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tiên tiến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protect the causal purity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et al., 1997), S-curve (Lu &amp; Beamish, 2004; Contractor et al., 2003), M-curve (Riahi-Belkaoui, 1998), và chi phí buộc phải quốc tế hóa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quốc tế hóa–hiệu quả (internationalization–performance —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hình thái (pattern) then chốt: (1) phân tán năng suất tăng đơn điệu theo chế độ thể chế từ Nhóm I đến Nhóm VI; (2) tính không đồng nhất nội bộ rõ rệt trong nhóm tiên tiến (Advanced); và (3) hình thái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hình thái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hình thái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châu Á mới nổi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sai số chuẩn vững HC1 (robust standard errors; Long &amp; Ervin, 2000) làm chuẩn, hiệu ứng cố định hai chiều (fixed effects, quốc gia × năm), và biến công cụ (2SLS) để nhận dạng nhân quả cho TCI và DAI. Kiểm định phi tuyến áp dụng kiểm định U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hình thái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có mức dị biệt cao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lập luận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cơ sở lập luận cho H5 (thể chế ICRV điều tiết theo dải biến thiên,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bảo vệ tính nhân quả thuần khiết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cung cấp bằng chứng rằng nền tảng số cho phép doanh nghiệp nhỏ ở thị trường mới nổi quốc tế hóa với chi phí gần bằng zero, thay đổi căn bản lập luận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Dải biến thiên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lập luận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dải biến thiên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hiệu ứng cố định quốc gia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(chế độ thể chế ICRV,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bảo vệ tính nhân quả thuần khiết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753100" cy="3860884"/>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Mô hình khái niệm thống nhất luận án (CDCM — Context-Contingent Digital-and-Capability Model). Hình chữ nhật biểu thị biến quan sát được; hình ellipse biểu thị cấu trúc tiềm ẩn (TCI, ICRV, DAI). H1a (+) và H1b (−) xác định quan hệ phi tuyến chữ U ngược (điểm uốn ≈ 36%; H1b điều kiện biên: SIDS/FIP âm đơn điệu). H2 TCI nâng mặt bằng hiệu quả. H3 DAI tái định hình đường cong phụ thuộc bối cảnh. H5 ICRV chi phối độ cong/biên độ. Mũi tên hai chiều đứt nét biểu thị thay thế số–thể chế (DAI×ICRV,</w:t>
      </w:r>
      <w:r>
        <w:t xml:space="preserve"> </w:t>
      </w:r>
      <m:oMath>
        <m:r>
          <m:t>p</m:t>
        </m:r>
      </m:oMath>
      <w:r>
        <w:t xml:space="preserve"> </w:t>
      </w:r>
      <w:r>
        <w:t xml:space="preserve">= ,049). Kiểm soát Bậc trên (H4) đưa vào như biến kiểm soát quản trị nội sinh.</w:t>
      </w:r>
      <w:r>
        <w:t xml:space="preserve"> </w:t>
      </w:r>
      <w:r>
        <w:rPr>
          <w:iCs/>
          <w:i/>
        </w:rPr>
        <w:t xml:space="preserve">Nguồn: tác giả tự xây dựng.</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(chế độ thể chế ICRV,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bảo vệ tính nhân quả thuần khiết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3860884"/>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chế độ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Dải biến thiên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Xd5c539f936b2f6d69143bfcced0f271bd85d296"/>
    <w:p>
      <w:pPr>
        <w:pStyle w:val="Heading5"/>
      </w:pPr>
      <w:r>
        <w:t xml:space="preserve">Tổng quan và lập luận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bảo vệ tính nhân quả thuần khiết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hình thái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dải biến thiên ICRV khi chất lượng thể chế suy giảm: gần tuyến tính ở Nhóm I và cong sâu hơn ở các nhóm thể chế yếu, với Nhóm VI có hình thái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lập luận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trong nội bộ nhóm xuất khẩu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nhóm đang nổi/cận biên (Emerging/Frontier) và nhóm tiên tiến (Advanced). Hai giả thuyết con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sự hiện diện website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giả thuyết con (giả thuyết phân biệt cấu trúc CDCM, CDCM distinctiveness hypothesis, H3c: β(TCI)</w:t>
      </w:r>
      <w:r>
        <w:t xml:space="preserve"> </w:t>
      </w:r>
      <m:oMath>
        <m:r>
          <m:rPr>
            <m:sty m:val="p"/>
          </m:rPr>
          <m:t>≠</m:t>
        </m:r>
      </m:oMath>
      <w:r>
        <w:t xml:space="preserve"> </w:t>
      </w:r>
      <w:r>
        <w:t xml:space="preserve">β(DAI) và hai cấu trúc thỏa mãn tiêu chí giá trị phân biệt,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bảo vệ tính nhân quả thuần khiết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Xda529543b3724f11a3ec16e0ec40bd3627bd65b"/>
    <w:p>
      <w:pPr>
        <w:pStyle w:val="Heading5"/>
      </w:pPr>
      <w:r>
        <w:t xml:space="preserve">H5, Thể chế ICRV điều tiết theo dải biến thiên</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tổng hợp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dải biến thiên: cùng một mức FSTS, doanh nghiệp ở Nhóm I đạt hiệu quả cao nhất; chênh lệch giữa các chế độ giảm dần qua Nhóm II đến V; Nhóm VI có hình thái gánh nặng bắt buộc.</w:t>
      </w:r>
      <w:r>
        <w:t xml:space="preserve"> </w:t>
      </w:r>
      <w:r>
        <w:rPr>
          <w:bCs/>
          <w:b/>
        </w:rPr>
        <w:t xml:space="preserve">Độ cong (concavity / biên độ)</w:t>
      </w:r>
      <w:r>
        <w:t xml:space="preserve"> </w:t>
      </w:r>
      <w:r>
        <w:t xml:space="preserve">của hình chữ U ngược sâu dần theo dải biến thiên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Dải biến thiên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dải biến thiên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lập luận nhất quán với bốn trục điều tiết trọng tâm và một khối kiểm soát: H1a/H1b (phi tuyến, biên tham gia vs biên cường độ) là quan hệ trọng tâm; H2 (TCI nâng mặt bằng) và H3a/H3b (DAI phụ thuộc chế độ thể chế, với H3c phân biệt cấu trúc,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bảo vệ tính nhân quả thuần khiết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vững HC1 (Long &amp; Ervin, 2000) làm chuẩn; hiệu ứng cố định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mức-cơ-sở-tuyến-tính"/>
    <w:p>
      <w:pPr>
        <w:pStyle w:val="Heading5"/>
      </w:pPr>
      <w:r>
        <w:t xml:space="preserve">M0, Mức cơ sở tuyến tính</w:t>
      </w:r>
    </w:p>
    <w:p>
      <w:pPr>
        <w:pStyle w:val="FirstParagraph"/>
      </w:pPr>
    </w:p>
    <w:p>
      <w:pPr>
        <w:pStyle w:val="BodyText"/>
      </w:pPr>
      <w:r>
        <w:t xml:space="preserve">Mục đích: thiết lập mức cơ sở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tác động điều tiết đồng thời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dải biến thiên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hiệu ứng cố định quốc gia (country FE) bị loại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cộng các biến kiểm soát,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tổng hợp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Mức cơ sở</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Dải biến thiên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cặp quốc gia-năm</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(có điều kiện trên các biến quan sát được, conditional on observables), không phải ước lượng thống kê mô tả đại diện tổng thể. Thứ hai, hiệu ứng cố định hai chiều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bảng đối chiếu (crosswalk) biến giữa ba schema; xử lý giá trị thiếu; loại bỏ giá trị ngoại lai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giá trị ngoại lai tại phân vị 1/99 để giảm ảnh hưởng của giá trị ngoại lai.</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sai số chuẩn vững và hiệu ứng cố định (tất cả mô hình M0-M7): SE HC1 (chuẩn), điều chỉnh không đồng nhất phương sai cấp doanh nghiệp; hiệu ứng cố định hai chiều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cho thấy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bộ làm trơn cục bộ (smoother; bandwidth = 0,4) vẽ ln(LP) ~ FSTS; nếu hình dạng trực quan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vững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dải biến thiên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tổng hợp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sai số chuẩn vững HC1/HC3, hiệu ứng cố định hai chiều, nhận dạng IV (F bậc một &gt; 16), và kiểm định z Paternoster cho so sánh xuyên nhóm tạo ra chiến lược nhận dạng mạnh nhất có thể với dữ liệu WBES cắt ngang. Đặc biệt, việc tách DAI nhân quả so với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Dải biến thiên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cơ chế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dải biến thiên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châu Á mới nổi:</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 bậc một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mức cơ sở (baseline) ICBEF 2025 (Đỗ &amp; Phan, 2024, k=113) lên</w:t>
      </w:r>
      <w:r>
        <w:t xml:space="preserve"> </w:t>
      </w:r>
      <w:r>
        <w:rPr>
          <w:bCs/>
          <w:b/>
        </w:rPr>
        <w:t xml:space="preserve">k=238</w:t>
      </w:r>
      <w:r>
        <w:t xml:space="preserve"> </w:t>
      </w:r>
      <w:r>
        <w:t xml:space="preserve">(K=288 mức độ ảnh hưởng, 45 nền kinh tế) với hệ thống tìm kiếm PRISMA 2020 trên Web of Science + Scopus (1977-2026). Ba biến điều tiết mới: (i) cDAI, mức độ số hóa cấp quốc gia; (ii) ICRV 6 nhóm; (iii) DPL phase. Kết quả MARA xác nhận: hiệu ứng tổng hợp</w:t>
      </w:r>
      <w:r>
        <w:t xml:space="preserve"> </w:t>
      </w:r>
      <w:r>
        <w:rPr>
          <w:iCs/>
          <w:i/>
        </w:rPr>
        <w:t xml:space="preserve">r</w:t>
      </w:r>
      <w:r>
        <w:t xml:space="preserve">=0,074 (CI [0,060; 0,088]),</w:t>
      </w:r>
      <w:r>
        <w:t xml:space="preserve"> </w:t>
      </w:r>
      <m:oMath>
        <m:sSup>
          <m:e>
            <m:r>
              <m:t>I</m:t>
            </m:r>
          </m:e>
          <m:sup>
            <m:r>
              <m:t>2</m:t>
            </m:r>
          </m:sup>
        </m:sSup>
      </m:oMath>
      <w:r>
        <w:t xml:space="preserve">=87,8%; ICRV Q_M=17,35 (p = 0,002), H1 điều tiết thể chế được hỗ trợ; cDAI và DPL không có ý nghĩa (H2, H3 không được hỗ trợ). Phát hiện chính: thiên lệch xuất bản (publication bias) xác nhận qua hai kiểm định model-based độc lập (Begg-Mazumdar τ = −0,134, p &lt; 0,001; mô hình lựa chọn ba tham số Vevea-Hedges LRT χ² = 12,29, p = 0,002). Sáu kiểm định bao quát hiệu ứng hiệu chỉnh trong khoảng</w:t>
      </w:r>
      <w:r>
        <w:t xml:space="preserve"> </w:t>
      </w:r>
      <w:r>
        <w:rPr>
          <w:iCs/>
          <w:i/>
        </w:rPr>
        <w:t xml:space="preserve">r</w:t>
      </w:r>
      <w:r>
        <w:t xml:space="preserve"> </w:t>
      </w:r>
      <w:r>
        <w:t xml:space="preserve">∈ [0,035; 0,077]: trim-and-fill cho</w:t>
      </w:r>
      <w:r>
        <w:t xml:space="preserve"> </w:t>
      </w:r>
      <w:r>
        <w:rPr>
          <w:iCs/>
          <w:i/>
        </w:rPr>
        <w:t xml:space="preserve">r</w:t>
      </w:r>
      <w:r>
        <w:t xml:space="preserve">_adj = 0,035 (mạnh nhất, có thể over-correct dưới I² = 87,8%), PET-PEESE cho</w:t>
      </w:r>
      <w:r>
        <w:t xml:space="preserve"> </w:t>
      </w:r>
      <w:r>
        <w:rPr>
          <w:iCs/>
          <w:i/>
        </w:rPr>
        <w:t xml:space="preserve">r</w:t>
      </w:r>
      <w:r>
        <w:t xml:space="preserve">_adj = 0,061, Vevea-Hedges cho</w:t>
      </w:r>
      <w:r>
        <w:t xml:space="preserve"> </w:t>
      </w:r>
      <w:r>
        <w:rPr>
          <w:iCs/>
          <w:i/>
        </w:rPr>
        <w:t xml:space="preserve">r</w:t>
      </w:r>
      <w:r>
        <w:t xml:space="preserve">_adj = 0,077 (bảo thủ nhất). Hàm ý: hiệu ứng tổng hợp được báo cáo có thể thấp hơn ước lượng thô,</w:t>
      </w:r>
      <w:r>
        <w:t xml:space="preserve"> </w:t>
      </w:r>
      <w:r>
        <w:rPr>
          <w:iCs/>
          <w:i/>
        </w:rPr>
        <w:t xml:space="preserve">mức</w:t>
      </w:r>
      <w:r>
        <w:t xml:space="preserve"> </w:t>
      </w:r>
      <w:r>
        <w:t xml:space="preserve">thổi phồng tùy giả định selection-process. Đóng góp của phân tích tổng hợp trong khuôn khổ CD2: xác nhận dải biến thiên ICRV tổng thể (Q_M có ý nghĩa) nhưng không đủ k ở mỗi nhóm để xác nhận đường dải biến thiên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cặp quốc gia-năm khảo sát, 6 nhóm ICRV. Kết quả xác nhận: H1 (phi tuyến) điểm uốn toàn mẫu</w:t>
      </w:r>
      <w:r>
        <w:t xml:space="preserve"> </w:t>
      </w:r>
      <m:oMath>
        <m:r>
          <m:rPr>
            <m:sty m:val="p"/>
          </m:rPr>
          <m:t>≈</m:t>
        </m:r>
      </m:oMath>
      <w:r>
        <w:t xml:space="preserve"> </w:t>
      </w:r>
      <w:r>
        <w:t xml:space="preserve">37%; H2 TCI có hiệu ứng cấp độ β</w:t>
      </w:r>
      <w:r>
        <w:t xml:space="preserve"> </w:t>
      </w:r>
      <m:oMath>
        <m:r>
          <m:rPr>
            <m:sty m:val="p"/>
          </m:rPr>
          <m:t>≈</m:t>
        </m:r>
      </m:oMath>
      <w:r>
        <w:t xml:space="preserve"> </w:t>
      </w:r>
      <w:r>
        <w:t xml:space="preserve">+0,344 (p &lt; 0,05); H3 DAI có hiệu ứng cấp độ phổ quát β = +0,155 (p &lt; 0,001) cùng cả hai số hạng tương tác độ cong; H5 ICRV điều tiết theo dạng độ cong (concavity / biên độ): hình chữ U ngược cong sâu hơn ở SIDS/Frontier và phẳng dần về gần tuyến tính ở nhóm tiên tiến đổi mới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xuyên bối cảnh (cross-context) đã được xác nhận bởi kết quả tổng hợp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điểm uốn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tiên tiến đổi mới (Advanced Innovation) (Singapore, điểm uốn xuất hiện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quy trình phân tích (pipeline) sử dụng Stata 18. Mô hình chuẩn (Mục 6.4) dùng sai số chuẩn vững HC1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2026-06-01T00:04:52Z</dcterms:created>
  <dcterms:modified xsi:type="dcterms:W3CDTF">2026-06-01T00:04:52Z</dcterms:modified>
</cp:coreProperties>
</file>

<file path=docProps/custom.xml><?xml version="1.0" encoding="utf-8"?>
<Properties xmlns="http://schemas.openxmlformats.org/officeDocument/2006/custom-properties" xmlns:vt="http://schemas.openxmlformats.org/officeDocument/2006/docPropsVTypes"/>
</file>