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hương-2-tổng-quan-tài-liệu"/>
    <w:p>
      <w:pPr>
        <w:pStyle w:val="Heading1"/>
      </w:pPr>
      <w:r>
        <w:t xml:space="preserve">CHƯƠNG 2: TỔNG QUAN TÀI LIỆU</w:t>
      </w:r>
    </w:p>
    <w:p>
      <w:pPr>
        <w:pStyle w:val="FirstParagraph"/>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Start w:id="25"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20"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20"/>
    <w:bookmarkStart w:id="21"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ROA), tỷ suất sinh lời trên vốn chủ sở hữu, và tỷ suất sinh lời trên doanh thu (return on sales,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21"/>
    <w:bookmarkStart w:id="22"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22"/>
    <w:bookmarkStart w:id="23"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23"/>
    <w:bookmarkStart w:id="24"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độc lập khái niệm và để rút ra hàm ý chính sách phân biệt được.</w:t>
      </w:r>
    </w:p>
    <w:p>
      <w:r>
        <w:pict>
          <v:rect style="width:0;height:1.5pt" o:hralign="center" o:hrstd="t" o:hr="t"/>
        </w:pict>
      </w:r>
    </w:p>
    <w:bookmarkEnd w:id="24"/>
    <w:bookmarkEnd w:id="25"/>
    <w:bookmarkStart w:id="31"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26"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bookmarkEnd w:id="26"/>
    <w:bookmarkStart w:id="27" w:name="quan-điểm-dựa-trên-nguồn-lực"/>
    <w:p>
      <w:pPr>
        <w:pStyle w:val="Heading3"/>
      </w:pPr>
      <w:r>
        <w:t xml:space="preserve">2.2.2 Quan điểm dựa trên nguồn lực</w:t>
      </w:r>
    </w:p>
    <w:p>
      <w:pPr>
        <w:pStyle w:val="FirstParagraph"/>
      </w:pPr>
      <w:r>
        <w:t xml:space="preserve">Quan điểm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27"/>
    <w:bookmarkStart w:id="28"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28"/>
    <w:bookmarkStart w:id="29"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riêng phần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29"/>
    <w:bookmarkStart w:id="30"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30"/>
    <w:bookmarkEnd w:id="31"/>
    <w:bookmarkStart w:id="35"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ICRV) để lấp khoảng trống đó.</w:t>
      </w:r>
    </w:p>
    <w:bookmarkStart w:id="32"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ICRV), phản ánh đúng bản chất của nó: một dải biến thiên liên tục của bối cảnh thể chế, được rời rạc hóa thành sáu chế độ để tiện cho phân tích so sánh.</w:t>
      </w:r>
    </w:p>
    <w:bookmarkEnd w:id="32"/>
    <w:bookmarkStart w:id="33"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SIDS), gồm các quốc đảo nhỏ đang phát triển (Small Island Developing States,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33"/>
    <w:bookmarkStart w:id="34"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34"/>
    <w:bookmarkEnd w:id="35"/>
    <w:bookmarkStart w:id="40"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36"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quốc tế hóa bắt buộc, biểu hiện thành quan hệ tuyến tính âm trong các nền kinh tế buộc phải quốc tế hóa do thị trường nội địa quá nhỏ; đây là dạng đặc thù của các quốc đảo nhỏ Thái Bình Dương, nơi doanh nghiệp phải xuất khẩu để tồn tại nhưng thiếu năng lực cạnh tranh (Briguglio, 1995; Bertram, 2006). Năm dạng hàm này thực chất sắp xếp dọc theo một trục đối lập giữa hai chế độ quốc tế hóa: ở một đầu là quốc tế hóa để mở rộng quy mô, nơi xuất khẩu tối ưu hóa lợi nhuận và đường cong còn dư địa sinh lợi đến cường độ cao; ở đầu kia là quốc tế hóa để sinh tồn, nơi xuất khẩu là bắt buộc và dạng phi tuyến quen thuộc sụp đổ thành âm đơn điệu. Dạng hàm thứ năm do đó không phải một ngoại lệ thứ yếu mà là cực biên làm lộ rõ các tiền đề cấu trúc mà bốn dạng còn lại ngầm giả định.</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36"/>
    <w:bookmarkStart w:id="37"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49 nền kinh tế trên toàn cầu (đa số thuộc châu Á – Thái Bình Dương). phân tích tổng hợp ước lượng tác động tổng hợp r = 0,074 (khoảng tin cậy 95%: 0,060; 0,088), với I² = 87,8%, tái lập và mở rộng mức cơ sở trước đó (r = 0,07, k = 113). Kiểm định khác biệt giữa các chế độ ICRV có ý nghĩa thống kê trên toàn mẫu (Q_M = 17,35, df = 4, p = 0,002) nhưng</w:t>
      </w:r>
      <w:r>
        <w:t xml:space="preserve"> </w:t>
      </w:r>
      <w:r>
        <w:rPr>
          <w:bCs/>
          <w:b/>
        </w:rPr>
        <w:t xml:space="preserve">không bền vững</w:t>
      </w:r>
      <w:r>
        <w:t xml:space="preserve">: kiểm định nhạy cảm bỏ ô Frontier (k = 3) đưa omnibus về không có ý nghĩa (Q_M = 1,49, p = 0,68), cho thấy ở cấp văn liệu điều tiết thể chế trực tiếp (chủ hiệu ứng phân nhóm) là yếu. Tính ngữ cảnh thể chế của quan hệ I-P do đó được luận án kiểm định mạnh hơn ở cấp doanh nghiệp qua tương tác có điều kiện (Chương 4), nơi vai trò điều tiết của chế độ thể chế bộc lộ vững chắc. phân tích tổng hợp cũng phát hiện thiên lệch xuất bản đáng kể qua sáu kiểm định bổ sung. Kiểm định Begg–Mazumdar (τ = −0,134, p &lt; 0,001) và mô hình lựa chọn ba tham số Vevea-Hedges (LRT χ² = 12,29, p = 0,002) đều xác nhận selection thực sự tồn tại. Về độ lớn điều chỉnh, ba phương pháp model-based bao quát hiệu ứng hiệu chỉnh trong khoảng r ∈ [0,035; 0,077]: trim-and-fill bổ khuyết 58 nghiên cứu thiếu cho r_adj = 0,035 (mức điều chỉnh mạnh nhất, có thể over-correct dưới dị biệt cao), PET-PEESE cho r_adj = 0,061, và mô hình lựa chọn Vevea-Hedges cho r_adj = 0,077 (bảo thủ nhất).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37"/>
    <w:bookmarkStart w:id="38"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thay thế số cho thể chế.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đáng chú ý là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38"/>
    <w:bookmarkStart w:id="39"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năng lực phụ thuộc bối cảnh,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39"/>
    <w:bookmarkEnd w:id="40"/>
    <w:bookmarkStart w:id="48" w:name="X571aebe6b94c63b04e26a653f6b78348d98b3f9"/>
    <w:p>
      <w:pPr>
        <w:pStyle w:val="Heading2"/>
      </w:pPr>
      <w:r>
        <w:t xml:space="preserve">2.5 Khoảng trống nghiên cứu và khung khái niệm, giả thuyết của luận án</w:t>
      </w:r>
    </w:p>
    <w:bookmarkStart w:id="41" w:name="các-khoảng-trống-nghiên-cứu"/>
    <w:p>
      <w:pPr>
        <w:pStyle w:val="Heading3"/>
      </w:pPr>
      <w:r>
        <w:t xml:space="preserve">2.5.1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dải biến thiên thể chế của châu Á. Luận án đề xuất CDCM (Context-Contingent Digital-and-Capability Model, Mô hình năng lực và chấp nhận số phụ thuộc bối cảnh) như một</w:t>
      </w:r>
      <w:r>
        <w:t xml:space="preserve"> </w:t>
      </w:r>
      <w:r>
        <w:rPr>
          <w:iCs/>
          <w:i/>
        </w:rPr>
        <w:t xml:space="preserve">khung tổ chức tích hợp</w:t>
      </w:r>
      <w:r>
        <w:t xml:space="preserve"> </w:t>
      </w:r>
      <w:r>
        <w:t xml:space="preserve">(integrative organizing framework) cho việc kiểm định đồng thời H1-H6, chứ không phải một lý thuyết mới. CDCM kế thừa và kết hợp bốn lý thuyết nền và lớp số đã thảo luận ở Mục 2.2: bối cảnh thể chế ở tầng vĩ mô được vận hành hóa bằng ICRV (mở rộng dải sáu chế độ từ Marano et al., 2016 và Khanna &amp; Palepu, 2010); năng lực doanh nghiệp ở tầng tổ chức tách TCI khỏi DAI (chuẩn bị bởi Bhandari et al., 2023; Verhoef et al., 2021); đặc điểm nhà quản trị ở tầng cá nhân được đưa vào như khối kiểm soát quản trị nội sinh (kế thừa Hambrick &amp; Mason, 1984); và lớp mở rộng năng lực số đan cài qua tất cả các tầng. Đóng góp của CDCM không phải ở chỗ tạo ra lý thuyết mới mà ở chỗ tích hợp các tầng đã được nghiên cứu rời rạc thành một mô hình thực nghiệm kiểm định được, có thể adjudicate giữa các dự đoán cạnh tranh từ các lý thuyết nền khi áp dụng trên cùng một bộ dữ liệu đa quốc gia. Trong khung này, FSTS là biến độc lập chính và năng suất lao động là biến phụ thuộc.</w:t>
      </w:r>
    </w:p>
    <w:bookmarkEnd w:id="41"/>
    <w:bookmarkStart w:id="45" w:name="mô-hình-khái-niệm"/>
    <w:p>
      <w:pPr>
        <w:pStyle w:val="Heading3"/>
      </w:pPr>
      <w:r>
        <w:t xml:space="preserve">2.5.2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riêng phần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p>
      <w:pPr>
        <w:pStyle w:val="CaptionedFigure"/>
      </w:pPr>
      <w:r>
        <w:drawing>
          <wp:inline>
            <wp:extent cx="5753100" cy="3860884"/>
            <wp:effectExtent b="0" l="0" r="0" t="0"/>
            <wp:docPr descr="Hình 2.1: Mô hình khái niệm thống nhất — CDCM" title="" id="43" name="Picture"/>
            <a:graphic>
              <a:graphicData uri="http://schemas.openxmlformats.org/drawingml/2006/picture">
                <pic:pic>
                  <pic:nvPicPr>
                    <pic:cNvPr descr="figures/figure_conceptual_model_unified.png" id="44" name="Picture"/>
                    <pic:cNvPicPr>
                      <a:picLocks noChangeArrowheads="1" noChangeAspect="1"/>
                    </pic:cNvPicPr>
                  </pic:nvPicPr>
                  <pic:blipFill>
                    <a:blip r:embed="rId42"/>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2.1: Mô hình khái niệm thống nhất — CDCM</w:t>
      </w:r>
    </w:p>
    <w:p>
      <w:pPr>
        <w:pStyle w:val="BodyText"/>
      </w:pPr>
      <w:r>
        <w:rPr>
          <w:iCs/>
          <w:i/>
        </w:rPr>
        <w:t xml:space="preserve">Hình 2.1.</w:t>
      </w:r>
      <w:r>
        <w:t xml:space="preserve"> </w:t>
      </w:r>
      <w:r>
        <w:t xml:space="preserve">Mô hình khái niệm thống nhất — Quốc tế hóa và Hiệu quả doanh nghiệp (CDCM: Context-Contingent Digital-and-Capability Model). Hình chữ nhật biểu thị biến quan sát được; hình ellipse biểu thị cấu trúc tiềm ẩn (TCI, ICRV, DAI). H1a (+) và H1b (−) xác định quan hệ phi tuyến chữ U ngược (điểm uốn ≈ 36%; điều kiện biên H1b: SIDS/FIP âm đơn điệu). H2 năng lực công nghệ TCI nâng mặt bằng hiệu quả (level-shift). H3 DAI tái định hình đường cong phụ thuộc bối cảnh. H5 ICRV chi phối độ cong/biên độ trong môi trường thể chế yếu. Mũi tên hai chiều đứt nét biểu thị thay thế số–thể chế (DAI×ICRV,</w:t>
      </w:r>
      <w:r>
        <w:t xml:space="preserve"> </w:t>
      </w:r>
      <m:oMath>
        <m:r>
          <m:t>p</m:t>
        </m:r>
      </m:oMath>
      <w:r>
        <w:t xml:space="preserve"> </w:t>
      </w:r>
      <w:r>
        <w:t xml:space="preserve">= ,049). Kiểm soát Bậc trên (H4) đặc điểm nhà quản trị đưa vào như biến kiểm soát quản trị nội sinh.</w:t>
      </w:r>
      <w:r>
        <w:t xml:space="preserve"> </w:t>
      </w:r>
      <w:r>
        <w:rPr>
          <w:iCs/>
          <w:i/>
        </w:rPr>
        <w:t xml:space="preserve">Nguồn: tác giả tự xây dựng.</w:t>
      </w:r>
    </w:p>
    <w:bookmarkEnd w:id="45"/>
    <w:bookmarkStart w:id="46" w:name="hệ-giả-thuyết-h1-h6"/>
    <w:p>
      <w:pPr>
        <w:pStyle w:val="Heading3"/>
      </w:pPr>
      <w:r>
        <w:t xml:space="preserve">2.5.3 Hệ giả thuyết H1-H6</w:t>
      </w:r>
    </w:p>
    <w:p>
      <w:pPr>
        <w:pStyle w:val="FirstParagraph"/>
      </w:pPr>
      <w:r>
        <w:t xml:space="preserve">Trên nền tảng khung CDCM, luận án phát triển sáu giả thuyết chính cùng một điều kiện biên.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riêng phần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w:t>
      </w:r>
    </w:p>
    <w:p>
      <w:pPr>
        <w:pStyle w:val="BlockText"/>
      </w:pPr>
      <w:r>
        <w:rPr>
          <w:iCs/>
          <w:i/>
        </w:rPr>
        <w:t xml:space="preserve">Ghi chú phương pháp luận về ký hiệu H4.</w:t>
      </w:r>
      <w:r>
        <w:t xml:space="preserve"> </w:t>
      </w:r>
      <w:r>
        <w:t xml:space="preserve">Ký hiệu giả thuyết được giữ lại từ phiên bản đầu của thiết kế luận án để duy trì tính nhất quán đối chiếu với các bản thảo đồng hành (phân tích Việt Nam, Singapore, Trung Quốc) vốn được phát triển song song. Một reviewer chính thức của tạp chí có thể đề nghị tái nhãn thành</w:t>
      </w:r>
      <w:r>
        <w:t xml:space="preserve"> </w:t>
      </w:r>
      <w:r>
        <w:t xml:space="preserve">“</w:t>
      </w:r>
      <w:r>
        <w:t xml:space="preserve">Khối kiểm soát C1</w:t>
      </w:r>
      <w:r>
        <w:t xml:space="preserve">”</w:t>
      </w:r>
      <w:r>
        <w:t xml:space="preserve"> </w:t>
      </w:r>
      <w:r>
        <w:t xml:space="preserve">để phản ánh chính xác vai trò phương pháp luận, và đề xuất này được luận án ghi nhận là hợp lệ; bản dispute sẽ được giải quyết tại giai đoạn revision của bản thảo đồng hành.</w:t>
      </w:r>
    </w:p>
    <w:p>
      <w:pPr>
        <w:pStyle w:val="FirstParagraph"/>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46"/>
    <w:bookmarkStart w:id="47" w:name="X0a81e8b3240aff50264466ceb20bd9b6162dbaf"/>
    <w:p>
      <w:pPr>
        <w:pStyle w:val="Heading3"/>
      </w:pPr>
      <w:r>
        <w:t xml:space="preserve">2.5.4 Kết nối khoảng trống với chương trình kiểm định</w:t>
      </w:r>
    </w:p>
    <w:p>
      <w:pPr>
        <w:pStyle w:val="FirstParagraph"/>
      </w:pPr>
      <w:r>
        <w:t xml:space="preserve">Ba khoảng trống dẫn về một chương trình kiểm định gồm ba mảnh ghép bổ sung cho nhau. Khoảng trống thứ nhất và thứ ba cùng dẫn về câu hỏi liệu CDCM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47"/>
    <w:bookmarkEnd w:id="48"/>
    <w:bookmarkStart w:id="49"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khung CDCM và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2026-06-01T00:04:49Z</dcterms:created>
  <dcterms:modified xsi:type="dcterms:W3CDTF">2026-06-01T00:04:49Z</dcterms:modified>
</cp:coreProperties>
</file>

<file path=docProps/custom.xml><?xml version="1.0" encoding="utf-8"?>
<Properties xmlns="http://schemas.openxmlformats.org/officeDocument/2006/custom-properties" xmlns:vt="http://schemas.openxmlformats.org/officeDocument/2006/docPropsVTypes"/>
</file>