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các mô hình lồng nhau của P7 trên khung 50 nền (Chương 4, §4.6)</w:t>
      </w:r>
      <w:r>
        <w:t xml:space="preserve"> </w:t>
      </w:r>
      <w:r>
        <w:t xml:space="preserve">- Bảng 4.5. Điểm uốn theo nhóm ICRV, khung 50 nền (Chương 4, §4.6)</w:t>
      </w:r>
      <w:r>
        <w:t xml:space="preserve"> </w:t>
      </w:r>
      <w:r>
        <w:t xml:space="preserve">- Bảng 4.6. Điểm uốn theo đợt khảo sát, Ấn Độ (Chương 4, §4.8)</w:t>
      </w:r>
      <w:r>
        <w:t xml:space="preserve"> </w:t>
      </w:r>
      <w:r>
        <w:t xml:space="preserve">- Bảng 4.7.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Biến thể đo lường (thin/full).</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composite formative:</w:t>
      </w:r>
    </w:p>
    <w:p>
      <w:pPr>
        <w:numPr>
          <w:ilvl w:val="0"/>
          <w:numId w:val="1006"/>
        </w:numPr>
        <w:pStyle w:val="Compact"/>
      </w:pPr>
      <w:r>
        <w:rPr>
          <w:bCs/>
          <w:b/>
        </w:rPr>
        <w:t xml:space="preserve">TCI_thin</w:t>
      </w:r>
      <w:r>
        <w:t xml:space="preserve"> </w:t>
      </w:r>
      <w:r>
        <w:t xml:space="preserve">= z-std của trung bình hai mục cốt lõi: chứng chỉ chất lượng quốc tế (b8) và cấp phép công nghệ nước ngoài (e6). Dùng trong các nghiên cứu Việt Nam (P3), Singapore (P4), đa quốc gia (P7) và Pacific SIDS (P8).</w:t>
      </w:r>
    </w:p>
    <w:p>
      <w:pPr>
        <w:numPr>
          <w:ilvl w:val="0"/>
          <w:numId w:val="1006"/>
        </w:numPr>
        <w:pStyle w:val="Compact"/>
      </w:pPr>
      <w:r>
        <w:rPr>
          <w:bCs/>
          <w:b/>
        </w:rPr>
        <w:t xml:space="preserve">TCI_full</w:t>
      </w:r>
      <w:r>
        <w:t xml:space="preserve"> </w:t>
      </w:r>
      <w:r>
        <w:t xml:space="preserve">= z-std của trung bình bốn mục: b8, e6, đổi mới sản phẩm (h1), và chi R&amp;D (h8). Dùng trong nghiên cứu Trung Quốc (P5), nơi cả hai sóng 2012 và 2024 đều có đủ module đổi mới.</w:t>
      </w:r>
    </w:p>
    <w:p>
      <w:pPr>
        <w:pStyle w:val="FirstParagraph"/>
      </w:pPr>
      <w:r>
        <w:t xml:space="preserve">Bộ mục chính xác của mỗi nghiên cứu thành phần được nêu lại trong bảng định nghĩa biến của nghiên cứu đó (§3.4.5) và Phụ lục A; khác biệt giữa thin và full phản ánh ràng buộc khả dụng dữ liệu khách quan, không phải lựa chọn tùy ý. Vì các mục là chỉ báo nhị phân của cùng một construct formative (năng lực công nghệ), hai biến thể tương quan cao và cho kết luận điều tiết nhất quán về dấu; phần độ vững (§3.5.1) kiểm tra độ nhạy của kết quả với lựa chọn biến thể. Bộ mục TCI của nghiên cứu đa quốc gia (P7) đã được đối chiếu trực tiếp với mã xây dựng dữ liệu thực tế (pipeline raw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thin nêu trên.</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7"/>
        </w:numPr>
        <w:pStyle w:val="Compact"/>
      </w:pPr>
      <w:r>
        <w:rPr>
          <w:bCs/>
          <w:b/>
        </w:rPr>
        <w:t xml:space="preserve">lnNSLD_it</w:t>
      </w:r>
      <w:r>
        <w:t xml:space="preserve"> </w:t>
      </w:r>
      <w:r>
        <w:t xml:space="preserve">= lnLP_it: log năng suất lao động (ln doanh thu PPP / lao động thường xuyên)</w:t>
      </w:r>
    </w:p>
    <w:p>
      <w:pPr>
        <w:numPr>
          <w:ilvl w:val="0"/>
          <w:numId w:val="1007"/>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7"/>
        </w:numPr>
        <w:pStyle w:val="Compact"/>
      </w:pPr>
      <w:r>
        <w:rPr>
          <w:bCs/>
          <w:b/>
        </w:rPr>
        <w:t xml:space="preserve">CDDXK_c²_it</w:t>
      </w:r>
      <w:r>
        <w:t xml:space="preserve"> </w:t>
      </w:r>
      <w:r>
        <w:t xml:space="preserve">= FSTS_c²_it: bình phương cường độ xuất khẩu điều chỉnh</w:t>
      </w:r>
    </w:p>
    <w:p>
      <w:pPr>
        <w:numPr>
          <w:ilvl w:val="0"/>
          <w:numId w:val="1007"/>
        </w:numPr>
        <w:pStyle w:val="Compact"/>
      </w:pPr>
      <w:r>
        <w:rPr>
          <w:bCs/>
          <w:b/>
        </w:rPr>
        <w:t xml:space="preserve">NLCN_z_it</w:t>
      </w:r>
      <w:r>
        <w:t xml:space="preserve"> </w:t>
      </w:r>
      <w:r>
        <w:t xml:space="preserve">= TCI_z_it: năng lực công nghệ (chuẩn hoá z trong sóng)</w:t>
      </w:r>
    </w:p>
    <w:p>
      <w:pPr>
        <w:numPr>
          <w:ilvl w:val="0"/>
          <w:numId w:val="1007"/>
        </w:numPr>
        <w:pStyle w:val="Compact"/>
      </w:pPr>
      <w:r>
        <w:rPr>
          <w:bCs/>
          <w:b/>
        </w:rPr>
        <w:t xml:space="preserve">CSS_z_it</w:t>
      </w:r>
      <w:r>
        <w:t xml:space="preserve"> </w:t>
      </w:r>
      <w:r>
        <w:t xml:space="preserve">= DAI_z_it: chỉ số số hoá cơ sở, Tier-1 (chuẩn hoá z trong sóng)</w:t>
      </w:r>
    </w:p>
    <w:p>
      <w:pPr>
        <w:numPr>
          <w:ilvl w:val="0"/>
          <w:numId w:val="1007"/>
        </w:numPr>
        <w:pStyle w:val="Compact"/>
      </w:pPr>
      <w:r>
        <w:rPr>
          <w:bCs/>
          <w:b/>
        </w:rPr>
        <w:t xml:space="preserve">lnLD, TuoiDN, SoHuuNuocNgoai</w:t>
      </w:r>
      <w:r>
        <w:t xml:space="preserve">: kiểm soát quy mô, tuổi, sở hữu</w:t>
      </w:r>
    </w:p>
    <w:p>
      <w:pPr>
        <w:numPr>
          <w:ilvl w:val="0"/>
          <w:numId w:val="1007"/>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8"/>
        </w:numPr>
        <w:pStyle w:val="Compact"/>
      </w:pPr>
      <w:r>
        <w:rPr>
          <w:bCs/>
          <w:b/>
        </w:rPr>
        <w:t xml:space="preserve">lnNSLD_i</w:t>
      </w:r>
      <w:r>
        <w:t xml:space="preserve"> </w:t>
      </w:r>
      <w:r>
        <w:t xml:space="preserve">= lnLP_i: log năng suất lao động (ln doanh thu PPP / lao động thường xuyên)</w:t>
      </w:r>
    </w:p>
    <w:p>
      <w:pPr>
        <w:numPr>
          <w:ilvl w:val="0"/>
          <w:numId w:val="1008"/>
        </w:numPr>
        <w:pStyle w:val="Compact"/>
      </w:pPr>
      <w:r>
        <w:rPr>
          <w:bCs/>
          <w:b/>
        </w:rPr>
        <w:t xml:space="preserve">CDDXK_i</w:t>
      </w:r>
      <w:r>
        <w:t xml:space="preserve"> </w:t>
      </w:r>
      <w:r>
        <w:t xml:space="preserve">= FSTS_i: cường độ xuất khẩu trực tiếp (d3c / 100)</w:t>
      </w:r>
    </w:p>
    <w:p>
      <w:pPr>
        <w:numPr>
          <w:ilvl w:val="0"/>
          <w:numId w:val="1008"/>
        </w:numPr>
        <w:pStyle w:val="Compact"/>
      </w:pPr>
      <w:r>
        <w:rPr>
          <w:bCs/>
          <w:b/>
        </w:rPr>
        <w:t xml:space="preserve">CDDXK_c_i</w:t>
      </w:r>
      <w:r>
        <w:t xml:space="preserve"> </w:t>
      </w:r>
      <w:r>
        <w:t xml:space="preserve">= FSTS_c_i: CDDXK trung bình mẫu; CDDXK_c² là bình phương</w:t>
      </w:r>
    </w:p>
    <w:p>
      <w:pPr>
        <w:numPr>
          <w:ilvl w:val="0"/>
          <w:numId w:val="1008"/>
        </w:numPr>
        <w:pStyle w:val="Compact"/>
      </w:pPr>
      <w:r>
        <w:rPr>
          <w:bCs/>
          <w:b/>
        </w:rPr>
        <w:t xml:space="preserve">NLCN_z_i</w:t>
      </w:r>
      <w:r>
        <w:t xml:space="preserve"> </w:t>
      </w:r>
      <w:r>
        <w:t xml:space="preserve">= TCI_z_i: năng lực công nghệ, z-std của trung bình(b8₀₁, e6₀₁)</w:t>
      </w:r>
    </w:p>
    <w:p>
      <w:pPr>
        <w:numPr>
          <w:ilvl w:val="0"/>
          <w:numId w:val="1008"/>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8"/>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8"/>
        </w:numPr>
        <w:pStyle w:val="Compact"/>
      </w:pPr>
      <w:r>
        <w:rPr>
          <w:bCs/>
          <w:b/>
        </w:rPr>
        <w:t xml:space="preserve">δ_s</w:t>
      </w:r>
      <w:r>
        <w:t xml:space="preserve">: sector fixed effects (ISIC 1-chữ số)</w:t>
      </w:r>
    </w:p>
    <w:p>
      <w:pPr>
        <w:numPr>
          <w:ilvl w:val="0"/>
          <w:numId w:val="1008"/>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9"/>
        </w:numPr>
        <w:pStyle w:val="Compact"/>
      </w:pPr>
      <w:r>
        <w:rPr>
          <w:bCs/>
          <w:b/>
        </w:rPr>
        <w:t xml:space="preserve">lnNSLD_it</w:t>
      </w:r>
      <w:r>
        <w:t xml:space="preserve"> </w:t>
      </w:r>
      <w:r>
        <w:t xml:space="preserve">= lnLP_it: log năng suất lao động (biến phụ thuộc)</w:t>
      </w:r>
    </w:p>
    <w:p>
      <w:pPr>
        <w:numPr>
          <w:ilvl w:val="0"/>
          <w:numId w:val="1009"/>
        </w:numPr>
        <w:pStyle w:val="Compact"/>
      </w:pPr>
      <w:r>
        <w:rPr>
          <w:bCs/>
          <w:b/>
        </w:rPr>
        <w:t xml:space="preserve">CDDXK_c_it</w:t>
      </w:r>
      <w:r>
        <w:t xml:space="preserve"> </w:t>
      </w:r>
      <w:r>
        <w:t xml:space="preserve">= FSTS_c_it: cường độ xuất khẩu centred theo trung bình sóng</w:t>
      </w:r>
    </w:p>
    <w:p>
      <w:pPr>
        <w:numPr>
          <w:ilvl w:val="0"/>
          <w:numId w:val="1009"/>
        </w:numPr>
        <w:pStyle w:val="Compact"/>
      </w:pPr>
      <w:r>
        <w:rPr>
          <w:bCs/>
          <w:b/>
        </w:rPr>
        <w:t xml:space="preserve">NLCN_z_it</w:t>
      </w:r>
      <w:r>
        <w:t xml:space="preserve"> </w:t>
      </w:r>
      <w:r>
        <w:t xml:space="preserve">= TCI_full_z_it: năng lực công nghệ toàn diện, z-std của TB(b8₀₁, e6₀₁, h1₀₁, h8₀₁); mở rộng hơn P3</w:t>
      </w:r>
    </w:p>
    <w:p>
      <w:pPr>
        <w:numPr>
          <w:ilvl w:val="0"/>
          <w:numId w:val="1009"/>
        </w:numPr>
        <w:pStyle w:val="Compact"/>
      </w:pPr>
      <w:r>
        <w:rPr>
          <w:bCs/>
          <w:b/>
        </w:rPr>
        <w:t xml:space="preserve">CSS_z_it</w:t>
      </w:r>
      <w:r>
        <w:t xml:space="preserve"> </w:t>
      </w:r>
      <w:r>
        <w:t xml:space="preserve">= DAI_core_it: chỉ số số hoá cơ bản, chỉ c22b₀₁ (Tier-1 mỏng, single-item binary)</w:t>
      </w:r>
    </w:p>
    <w:p>
      <w:pPr>
        <w:numPr>
          <w:ilvl w:val="0"/>
          <w:numId w:val="1009"/>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9"/>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h1, h8</w:t>
            </w:r>
          </w:p>
        </w:tc>
        <w:tc>
          <w:tcPr/>
          <w:p>
            <w:pPr>
              <w:pStyle w:val="Compact"/>
              <w:jc w:val="left"/>
            </w:pPr>
            <w:r>
              <w:t xml:space="preserve">z-std của TB(b8₀₁, e6₀₁, h1₀₁, h8₀₁):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10"/>
        </w:numPr>
        <w:pStyle w:val="Compact"/>
      </w:pPr>
      <w:r>
        <w:rPr>
          <w:bCs/>
          <w:b/>
        </w:rPr>
        <w:t xml:space="preserve">lnNSLD_it</w:t>
      </w:r>
      <w:r>
        <w:t xml:space="preserve">: ln(năng suất lao động) = ln(doanh thu / lao động thường trực), biến phụ thuộc</w:t>
      </w:r>
    </w:p>
    <w:p>
      <w:pPr>
        <w:numPr>
          <w:ilvl w:val="0"/>
          <w:numId w:val="1010"/>
        </w:numPr>
        <w:pStyle w:val="Compact"/>
      </w:pPr>
      <w:r>
        <w:rPr>
          <w:bCs/>
          <w:b/>
        </w:rPr>
        <w:t xml:space="preserve">CDDXK_c_it</w:t>
      </w:r>
      <w:r>
        <w:t xml:space="preserve">: cường độ xuất khẩu mean-centred, FSTS_c = (d3c/100) − mean_pool(FSTS)</w:t>
      </w:r>
    </w:p>
    <w:p>
      <w:pPr>
        <w:numPr>
          <w:ilvl w:val="0"/>
          <w:numId w:val="1010"/>
        </w:numPr>
        <w:pStyle w:val="Compact"/>
      </w:pPr>
      <w:r>
        <w:rPr>
          <w:bCs/>
          <w:b/>
        </w:rPr>
        <w:t xml:space="preserve">CDDXK_c²_it</w:t>
      </w:r>
      <w:r>
        <w:t xml:space="preserve">: CDDXK_c bình phương, kiểm định phi tuyến</w:t>
      </w:r>
    </w:p>
    <w:p>
      <w:pPr>
        <w:numPr>
          <w:ilvl w:val="0"/>
          <w:numId w:val="1010"/>
        </w:numPr>
        <w:pStyle w:val="Compact"/>
      </w:pPr>
      <w:r>
        <w:rPr>
          <w:bCs/>
          <w:b/>
        </w:rPr>
        <w:t xml:space="preserve">NLCN_z_it</w:t>
      </w:r>
      <w:r>
        <w:t xml:space="preserve">: năng lực công nghệ z-standardised, TCI_z = z-std(b8, e6)</w:t>
      </w:r>
    </w:p>
    <w:p>
      <w:pPr>
        <w:numPr>
          <w:ilvl w:val="0"/>
          <w:numId w:val="1010"/>
        </w:numPr>
        <w:pStyle w:val="Compact"/>
      </w:pPr>
      <w:r>
        <w:rPr>
          <w:bCs/>
          <w:b/>
        </w:rPr>
        <w:t xml:space="preserve">CSS_z_it</w:t>
      </w:r>
      <w:r>
        <w:t xml:space="preserve">: chỉ số số hoá z-standardised, DAI_z = z-std(website + e-pay, Tier 1+2: c22b/e1, k33)</w:t>
      </w:r>
    </w:p>
    <w:p>
      <w:pPr>
        <w:numPr>
          <w:ilvl w:val="0"/>
          <w:numId w:val="1010"/>
        </w:numPr>
        <w:pStyle w:val="Compact"/>
      </w:pPr>
      <w:r>
        <w:rPr>
          <w:bCs/>
          <w:b/>
        </w:rPr>
        <w:t xml:space="preserve">KNQLy_it</w:t>
      </w:r>
      <w:r>
        <w:t xml:space="preserve">: kinh nghiệm nhà quản lý trong ngành (năm, b7)</w:t>
      </w:r>
    </w:p>
    <w:p>
      <w:pPr>
        <w:numPr>
          <w:ilvl w:val="0"/>
          <w:numId w:val="1010"/>
        </w:numPr>
        <w:pStyle w:val="Compact"/>
      </w:pPr>
      <w:r>
        <w:rPr>
          <w:bCs/>
          <w:b/>
        </w:rPr>
        <w:t xml:space="preserve">NQL_nu_it</w:t>
      </w:r>
      <w:r>
        <w:t xml:space="preserve">: top manager là nữ (binary, b7a/b6a)</w:t>
      </w:r>
    </w:p>
    <w:p>
      <w:pPr>
        <w:numPr>
          <w:ilvl w:val="0"/>
          <w:numId w:val="1010"/>
        </w:numPr>
        <w:pStyle w:val="Compact"/>
      </w:pPr>
      <w:r>
        <w:rPr>
          <w:bCs/>
          <w:b/>
        </w:rPr>
        <w:t xml:space="preserve">ICRV_j</w:t>
      </w:r>
      <w:r>
        <w:t xml:space="preserve">: phân loại chế độ thể chế ICRV (integer 1–6, Advanced sang SIDS)</w:t>
      </w:r>
    </w:p>
    <w:p>
      <w:pPr>
        <w:numPr>
          <w:ilvl w:val="0"/>
          <w:numId w:val="1010"/>
        </w:numPr>
        <w:pStyle w:val="Compact"/>
      </w:pPr>
      <w:r>
        <w:rPr>
          <w:bCs/>
          <w:b/>
        </w:rPr>
        <w:t xml:space="preserve">lnLD_it</w:t>
      </w:r>
      <w:r>
        <w:t xml:space="preserve">: ln(lao động thường trực), kiểm soát quy mô doanh nghiệp</w:t>
      </w:r>
    </w:p>
    <w:p>
      <w:pPr>
        <w:numPr>
          <w:ilvl w:val="0"/>
          <w:numId w:val="1010"/>
        </w:numPr>
        <w:pStyle w:val="Compact"/>
      </w:pPr>
      <w:r>
        <w:rPr>
          <w:bCs/>
          <w:b/>
        </w:rPr>
        <w:t xml:space="preserve">TuoiDN_it</w:t>
      </w:r>
      <w:r>
        <w:t xml:space="preserve">: tuổi doanh nghiệp (năm_khảo_sát − b5)</w:t>
      </w:r>
    </w:p>
    <w:p>
      <w:pPr>
        <w:numPr>
          <w:ilvl w:val="0"/>
          <w:numId w:val="1010"/>
        </w:numPr>
        <w:pStyle w:val="Compact"/>
      </w:pPr>
      <w:r>
        <w:rPr>
          <w:bCs/>
          <w:b/>
        </w:rPr>
        <w:t xml:space="preserve">SoHuuNN_it</w:t>
      </w:r>
      <w:r>
        <w:t xml:space="preserve">: tỷ lệ sở hữu nước ngoài (b6a/100)</w:t>
      </w:r>
    </w:p>
    <w:p>
      <w:pPr>
        <w:numPr>
          <w:ilvl w:val="0"/>
          <w:numId w:val="1010"/>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1"/>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1"/>
        </w:numPr>
        <w:pStyle w:val="Compact"/>
      </w:pPr>
      <w:r>
        <w:t xml:space="preserve">Biến độc lập: thay FSTS bằng export status (binary), foreign sales count.</w:t>
      </w:r>
    </w:p>
    <w:p>
      <w:pPr>
        <w:numPr>
          <w:ilvl w:val="0"/>
          <w:numId w:val="1011"/>
        </w:numPr>
        <w:pStyle w:val="Compact"/>
      </w:pPr>
      <w:r>
        <w:t xml:space="preserve">Biến biến điều tiết: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2"/>
        </w:numPr>
        <w:pStyle w:val="Compact"/>
      </w:pPr>
      <w:r>
        <w:t xml:space="preserve">VIF cho tất cả mô hình; ngưỡng VIF &lt; 5 (Hair et al., 2019).</w:t>
      </w:r>
    </w:p>
    <w:p>
      <w:pPr>
        <w:numPr>
          <w:ilvl w:val="0"/>
          <w:numId w:val="1012"/>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3"/>
        </w:numPr>
        <w:pStyle w:val="Compact"/>
      </w:pPr>
      <w:r>
        <w:t xml:space="preserve">Leave-one-out: loại từng nghiên cứu và tái tính pooled effect.</w:t>
      </w:r>
    </w:p>
    <w:p>
      <w:pPr>
        <w:numPr>
          <w:ilvl w:val="0"/>
          <w:numId w:val="1013"/>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construct TCI và DAI qua ba thế hệ bảng hỏi WBES: do cấu trúc câu hỏi thay đổi giữa PICS3, Standardized và BREADY, một phần khác biệt theo thời gian có thể phản ánh hiệu ứng schema thay vì thay đổi thực chất (ví dụ mức R&amp;D đo được ở một số nhóm). Luận án giảm thiểu rủi ro này bằng hiệu ứng cố định năm/đợt, chuẩn hóa within country–year, và kiểm tra độ nhạy với biến thể thước đo (§3.5.1); tuy vậy luận án chưa thực hiện kiểm định bất biến đo lường chính thức, nên mọi so sánh xuyên-schema cần được đọc một cách thận trọng.</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§4.6.2).</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49"/>
    <w:bookmarkStart w:id="153"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53"/>
    <w:bookmarkStart w:id="154"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69"/>
    <w:bookmarkStart w:id="170"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8"/>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8"/>
        </w:numPr>
      </w:pPr>
      <w:r>
        <w:rPr>
          <w:bCs/>
          <w:b/>
        </w:rPr>
        <w:t xml:space="preserve">P3</w:t>
      </w:r>
      <w:r>
        <w:t xml:space="preserve">: phân tích Việt Nam (Lower-mid Transition), xác nhận chữ U ngược với TP = 39,3–46,2%, TCI là biến điều tiết dương có ý nghĩa.</w:t>
      </w:r>
    </w:p>
    <w:p>
      <w:pPr>
        <w:numPr>
          <w:ilvl w:val="0"/>
          <w:numId w:val="1018"/>
        </w:numPr>
      </w:pPr>
      <w:r>
        <w:rPr>
          <w:bCs/>
          <w:b/>
        </w:rPr>
        <w:t xml:space="preserve">P4</w:t>
      </w:r>
      <w:r>
        <w:t xml:space="preserve">: phân tích Singapore (Advanced Innovation), xác nhận chữ U ngược với TP ≈ 88,6% (rộng CI), DAI khuếch đại tại mức FSTS cao.</w:t>
      </w:r>
    </w:p>
    <w:p>
      <w:pPr>
        <w:numPr>
          <w:ilvl w:val="0"/>
          <w:numId w:val="1018"/>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8"/>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8"/>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4"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9"/>
        </w:numPr>
        <w:pStyle w:val="Compact"/>
      </w:pPr>
      <w:r>
        <w:t xml:space="preserve">Dùng in-text citation theo author–date.</w:t>
      </w:r>
    </w:p>
    <w:p>
      <w:pPr>
        <w:numPr>
          <w:ilvl w:val="0"/>
          <w:numId w:val="1019"/>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9"/>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9"/>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9"/>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9"/>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9"/>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9"/>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9"/>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9"/>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9"/>
        </w:numPr>
        <w:pStyle w:val="Compact"/>
      </w:pPr>
      <w:r>
        <w:rPr>
          <w:bCs/>
          <w:b/>
        </w:rPr>
        <w:t xml:space="preserve">Trích dẫn Section P — Data360 Atlas (v2.6)</w:t>
      </w:r>
      <w:r>
        <w:t xml:space="preserve">:</w:t>
      </w:r>
    </w:p>
    <w:p>
      <w:pPr>
        <w:numPr>
          <w:ilvl w:val="1"/>
          <w:numId w:val="1020"/>
        </w:numPr>
        <w:pStyle w:val="Compact"/>
      </w:pPr>
      <w:r>
        <w:t xml:space="preserve">Internet access story:</w:t>
      </w:r>
      <w:r>
        <w:t xml:space="preserve"> </w:t>
      </w:r>
      <w:r>
        <w:t xml:space="preserve">“</w:t>
      </w:r>
      <w:r>
        <w:t xml:space="preserve">Pirlea &amp; Corso (2026)</w:t>
      </w:r>
      <w:r>
        <w:t xml:space="preserve">”</w:t>
      </w:r>
    </w:p>
    <w:p>
      <w:pPr>
        <w:numPr>
          <w:ilvl w:val="1"/>
          <w:numId w:val="1020"/>
        </w:numPr>
        <w:pStyle w:val="Compact"/>
      </w:pPr>
      <w:r>
        <w:t xml:space="preserve">AI inequality story:</w:t>
      </w:r>
      <w:r>
        <w:t xml:space="preserve"> </w:t>
      </w:r>
      <w:r>
        <w:t xml:space="preserve">“</w:t>
      </w:r>
      <w:r>
        <w:t xml:space="preserve">Mahler, Wang &amp; Weber (2026)</w:t>
      </w:r>
      <w:r>
        <w:t xml:space="preserve">”</w:t>
      </w:r>
    </w:p>
    <w:p>
      <w:pPr>
        <w:numPr>
          <w:ilvl w:val="1"/>
          <w:numId w:val="1020"/>
        </w:numPr>
        <w:pStyle w:val="Compact"/>
      </w:pPr>
      <w:r>
        <w:t xml:space="preserve">Atlas overview/statistics:</w:t>
      </w:r>
      <w:r>
        <w:t xml:space="preserve"> </w:t>
      </w:r>
      <w:r>
        <w:t xml:space="preserve">“</w:t>
      </w:r>
      <w:r>
        <w:t xml:space="preserve">Pirlea et al. (2026 — Atlas)</w:t>
      </w:r>
      <w:r>
        <w:t xml:space="preserve">”</w:t>
      </w:r>
    </w:p>
    <w:p>
      <w:pPr>
        <w:numPr>
          <w:ilvl w:val="1"/>
          <w:numId w:val="1020"/>
        </w:numPr>
        <w:pStyle w:val="Compact"/>
      </w:pPr>
      <w:r>
        <w:t xml:space="preserve">Commodity markets blog:</w:t>
      </w:r>
      <w:r>
        <w:t xml:space="preserve"> </w:t>
      </w:r>
      <w:r>
        <w:t xml:space="preserve">“</w:t>
      </w:r>
      <w:r>
        <w:t xml:space="preserve">Agnolucci, Kenworthy &amp; Kose (2026)</w:t>
      </w:r>
      <w:r>
        <w:t xml:space="preserve">”</w:t>
      </w:r>
    </w:p>
    <w:p>
      <w:pPr>
        <w:numPr>
          <w:ilvl w:val="1"/>
          <w:numId w:val="1020"/>
        </w:numPr>
        <w:pStyle w:val="Compact"/>
      </w:pPr>
      <w:r>
        <w:t xml:space="preserve">AI financial supervision G20:</w:t>
      </w:r>
      <w:r>
        <w:t xml:space="preserve"> </w:t>
      </w:r>
      <w:r>
        <w:t xml:space="preserve">“</w:t>
      </w:r>
      <w:r>
        <w:t xml:space="preserve">Boeddu et al. (2025)</w:t>
      </w:r>
      <w:r>
        <w:t xml:space="preserve">”</w:t>
      </w:r>
    </w:p>
    <w:p>
      <w:pPr>
        <w:numPr>
          <w:ilvl w:val="0"/>
          <w:numId w:val="1019"/>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9"/>
        </w:numPr>
        <w:pStyle w:val="Compact"/>
      </w:pPr>
      <w:r>
        <w:rPr>
          <w:bCs/>
          <w:b/>
        </w:rPr>
        <w:t xml:space="preserve">Trích dẫn Section Q — Singapore ecosystem (v2.7)</w:t>
      </w:r>
      <w:r>
        <w:t xml:space="preserve">:</w:t>
      </w:r>
    </w:p>
    <w:p>
      <w:pPr>
        <w:numPr>
          <w:ilvl w:val="1"/>
          <w:numId w:val="1021"/>
        </w:numPr>
        <w:pStyle w:val="Compact"/>
      </w:pPr>
      <w:r>
        <w:t xml:space="preserve">SWITCH 2025:</w:t>
      </w:r>
      <w:r>
        <w:t xml:space="preserve"> </w:t>
      </w:r>
      <w:r>
        <w:t xml:space="preserve">“</w:t>
      </w:r>
      <w:r>
        <w:t xml:space="preserve">Enterprise Singapore (2025)</w:t>
      </w:r>
      <w:r>
        <w:t xml:space="preserve">”</w:t>
      </w:r>
    </w:p>
    <w:p>
      <w:pPr>
        <w:numPr>
          <w:ilvl w:val="1"/>
          <w:numId w:val="1021"/>
        </w:numPr>
        <w:pStyle w:val="Compact"/>
      </w:pPr>
      <w:r>
        <w:t xml:space="preserve">Digital government rankings:</w:t>
      </w:r>
      <w:r>
        <w:t xml:space="preserve"> </w:t>
      </w:r>
      <w:r>
        <w:t xml:space="preserve">“</w:t>
      </w:r>
      <w:r>
        <w:t xml:space="preserve">GovTech Singapore (2024)</w:t>
      </w:r>
      <w:r>
        <w:t xml:space="preserve">”</w:t>
      </w:r>
    </w:p>
    <w:p>
      <w:pPr>
        <w:numPr>
          <w:ilvl w:val="1"/>
          <w:numId w:val="1021"/>
        </w:numPr>
        <w:pStyle w:val="Compact"/>
      </w:pPr>
      <w:r>
        <w:t xml:space="preserve">ATxSG summit:</w:t>
      </w:r>
      <w:r>
        <w:t xml:space="preserve"> </w:t>
      </w:r>
      <w:r>
        <w:t xml:space="preserve">“</w:t>
      </w:r>
      <w:r>
        <w:t xml:space="preserve">IMDA (2025)</w:t>
      </w:r>
      <w:r>
        <w:t xml:space="preserve">”</w:t>
      </w:r>
    </w:p>
    <w:p>
      <w:pPr>
        <w:numPr>
          <w:ilvl w:val="1"/>
          <w:numId w:val="1021"/>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9"/>
        </w:numPr>
        <w:pStyle w:val="Compact"/>
      </w:pPr>
      <w:r>
        <w:rPr>
          <w:bCs/>
          <w:b/>
        </w:rPr>
        <w:t xml:space="preserve">Trích dẫn Section T — WB Working Papers 2015/2026 (v2.9)</w:t>
      </w:r>
      <w:r>
        <w:t xml:space="preserve">:</w:t>
      </w:r>
    </w:p>
    <w:p>
      <w:pPr>
        <w:numPr>
          <w:ilvl w:val="1"/>
          <w:numId w:val="1022"/>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2"/>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2"/>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2"/>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2"/>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3"/>
        </w:numPr>
        <w:pStyle w:val="Compact"/>
      </w:pPr>
      <w:r>
        <w:t xml:space="preserve">Xác minh DOI trên Crossref hoặc trang publisher cho các entry không quen thuộc.</w:t>
      </w:r>
    </w:p>
    <w:p>
      <w:pPr>
        <w:numPr>
          <w:ilvl w:val="0"/>
          <w:numId w:val="1023"/>
        </w:numPr>
        <w:pStyle w:val="Compact"/>
      </w:pPr>
      <w:r>
        <w:t xml:space="preserve">Kiểm tra nhất quán italic và punctuation theo APA 7th.</w:t>
      </w:r>
    </w:p>
    <w:p>
      <w:pPr>
        <w:numPr>
          <w:ilvl w:val="0"/>
          <w:numId w:val="1023"/>
        </w:numPr>
        <w:pStyle w:val="Compact"/>
      </w:pPr>
      <w:r>
        <w:t xml:space="preserve">Yang et al. (2025) JBR: hiện chưa verify được volume/pages — cần kiểm tra Crossref hoặc loại bỏ.</w:t>
      </w:r>
    </w:p>
    <w:p>
      <w:pPr>
        <w:numPr>
          <w:ilvl w:val="0"/>
          <w:numId w:val="1023"/>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3"/>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3"/>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31"/>
    <w:bookmarkStart w:id="232"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32"/>
    <w:bookmarkStart w:id="233"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33"/>
    <w:bookmarkEnd w:id="234"/>
    <w:bookmarkStart w:id="245"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5"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5"/>
    <w:bookmarkStart w:id="236"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6"/>
    <w:bookmarkStart w:id="237"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37"/>
    <w:bookmarkStart w:id="238"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4"/>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4"/>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4"/>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4"/>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8"/>
    <w:bookmarkStart w:id="239"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5"/>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5"/>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9"/>
    <w:bookmarkStart w:id="240"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40"/>
    <w:bookmarkStart w:id="241"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41"/>
    <w:bookmarkStart w:id="242"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2"/>
    <w:bookmarkStart w:id="243"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3"/>
    <w:bookmarkStart w:id="244"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4"/>
    <w:bookmarkEnd w:id="2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2026-06-15T14:29:24Z</dcterms:created>
  <dcterms:modified xsi:type="dcterms:W3CDTF">2026-06-15T14:29:24Z</dcterms:modified>
</cp:coreProperties>
</file>

<file path=docProps/custom.xml><?xml version="1.0" encoding="utf-8"?>
<Properties xmlns="http://schemas.openxmlformats.org/officeDocument/2006/custom-properties" xmlns:vt="http://schemas.openxmlformats.org/officeDocument/2006/docPropsVTypes"/>
</file>