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5a46cd004af198abafcb616be7c5d6b3f4cf7d2"/>
    <w:p>
      <w:pPr>
        <w:pStyle w:val="Heading1"/>
      </w:pPr>
      <w:r>
        <w:t xml:space="preserve">Thiết kế chi tiết P5 — China 2012–2024 (Temporal Extension)</w:t>
      </w:r>
    </w:p>
    <w:p>
      <w:pPr>
        <w:pStyle w:val="FirstParagraph"/>
      </w:pPr>
      <w:r>
        <w:t xml:space="preserve">File này trình bày thiết kế chi tiết cho bản thảo P5 về Trung Quốc, phát triển tiếp từ bản thảo hiện có của NCS. Mục tiêu là cung cấp lộ trình rà soát lý thuyết, chuẩn hóa biến, và chạy model.</w:t>
      </w:r>
    </w:p>
    <w:p>
      <w:pPr>
        <w:pStyle w:val="BlockText"/>
      </w:pPr>
      <w:r>
        <w:rPr>
          <w:bCs/>
          <w:b/>
        </w:rPr>
        <w:t xml:space="preserve">Cập nhật trạng thái (2026-05-30):</w:t>
      </w:r>
      <w:r>
        <w:t xml:space="preserve"> </w:t>
      </w:r>
      <w:r>
        <w:t xml:space="preserve">Phân tích empirical đã hoàn thành và được báo cáo trong luận án Chương 4 Mục 4.4.3 (mẫu N = 2,610 năm 2012; N = 1,934 năm 2024; tổng gộp N = 4,544). Tổng hợp kết quả chính: chữ U ngược xác nhận trong cả hai wave (β₁ = +1.28/+1.19 dương có ý nghĩa; β₂ = -1.53/-1.58 âm có ý nghĩa); điểm uốn ổn định cấu trúc (TP = 49.4%/47.2%/48.8% gộp; Paternoster z(FSTS) = +0.82, p = .412; z(FSTS²) = -0.61, p = .545); TCI nâng mặt bằng (β₃ = +0.28/+0.43, p &lt; .001) nhưng không điều tiết độ cong;</w:t>
      </w:r>
      <w:r>
        <w:t xml:space="preserve"> </w:t>
      </w:r>
      <w:r>
        <w:rPr>
          <w:bCs/>
          <w:b/>
        </w:rPr>
        <w:t xml:space="preserve">tương tác ba chiều FSTS × Year (H5-P5) không sống sót Bonferroni</w:t>
      </w:r>
      <w:r>
        <w:t xml:space="preserve"> </w:t>
      </w:r>
      <w:r>
        <w:t xml:space="preserve">(F1 = 3.26, p = .039 nhưng α* = 0.017 với 3 kiểm định). Khi xây dựng manuscript đầy đủ, kết quả H5-P5 phải được trình bày minh bạch là</w:t>
      </w:r>
      <w:r>
        <w:t xml:space="preserve"> </w:t>
      </w:r>
      <w:r>
        <w:rPr>
          <w:iCs/>
          <w:i/>
        </w:rPr>
        <w:t xml:space="preserve">không xác nhận</w:t>
      </w:r>
      <w:r>
        <w:t xml:space="preserve"> </w:t>
      </w:r>
      <w:r>
        <w:t xml:space="preserve">sau hiệu chỉnh đa kiểm định, để tránh báo cáo chọn lọc.</w:t>
      </w:r>
    </w:p>
    <w:bookmarkStart w:id="22" w:name="định-vị-và-differentiation-từ-p2"/>
    <w:p>
      <w:pPr>
        <w:pStyle w:val="Heading2"/>
      </w:pPr>
      <w:r>
        <w:t xml:space="preserve">1. Định vị và differentiation từ P2</w:t>
      </w:r>
    </w:p>
    <w:bookmarkStart w:id="20" w:name="vai-trò-trong-luận-án"/>
    <w:p>
      <w:pPr>
        <w:pStyle w:val="Heading3"/>
      </w:pPr>
      <w:r>
        <w:t xml:space="preserve">1.1 Vai trò trong luận án</w:t>
      </w:r>
    </w:p>
    <w:p>
      <w:pPr>
        <w:pStyle w:val="FirstParagraph"/>
      </w:pPr>
      <w:r>
        <w:t xml:space="preserve">P5 thuộc</w:t>
      </w:r>
      <w:r>
        <w:t xml:space="preserve"> </w:t>
      </w:r>
      <w:r>
        <w:rPr>
          <w:bCs/>
          <w:b/>
        </w:rPr>
        <w:t xml:space="preserve">tầng hình dạng quan hệ</w:t>
      </w:r>
      <w:r>
        <w:t xml:space="preserve"> </w:t>
      </w:r>
      <w:r>
        <w:t xml:space="preserve">trong khung 4 tầng (xem</w:t>
      </w:r>
      <w:r>
        <w:t xml:space="preserve"> </w:t>
      </w:r>
      <w:r>
        <w:rPr>
          <w:rStyle w:val="VerbatimChar"/>
        </w:rPr>
        <w:t xml:space="preserve">02_theoretical_framework_vi.md</w:t>
      </w:r>
      <w:r>
        <w:t xml:space="preserve">). Nó đóng vai trò bằng chứng country-level cho</w:t>
      </w:r>
      <w:r>
        <w:t xml:space="preserve"> </w:t>
      </w:r>
      <w:r>
        <w:rPr>
          <w:bCs/>
          <w:b/>
        </w:rPr>
        <w:t xml:space="preserve">temporal heterogeneity</w:t>
      </w:r>
      <w:r>
        <w:t xml:space="preserve"> </w:t>
      </w:r>
      <w:r>
        <w:t xml:space="preserve">trong bối cảnh Trung Quốc, kiểm định H6 và bổ sung bằng chứng cho H1–H3.</w:t>
      </w:r>
    </w:p>
    <w:bookmarkEnd w:id="20"/>
    <w:bookmarkStart w:id="21" w:name="X7c039ce59c45ccc14e3cc951aee298a48d93614"/>
    <w:p>
      <w:pPr>
        <w:pStyle w:val="Heading3"/>
      </w:pPr>
      <w:r>
        <w:t xml:space="preserve">1.2 Differentiation từ P2 (bài China đã công bố, JFAR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Yếu tố</w:t>
            </w:r>
          </w:p>
        </w:tc>
        <w:tc>
          <w:tcPr/>
          <w:p>
            <w:pPr>
              <w:pStyle w:val="Compact"/>
              <w:jc w:val="left"/>
            </w:pPr>
            <w:r>
              <w:t xml:space="preserve">P2 (đã công bố)</w:t>
            </w:r>
          </w:p>
        </w:tc>
        <w:tc>
          <w:tcPr/>
          <w:p>
            <w:pPr>
              <w:pStyle w:val="Compact"/>
              <w:jc w:val="left"/>
            </w:pPr>
            <w:r>
              <w:t xml:space="preserve">P5 (IJOEM under review)</w:t>
            </w:r>
          </w:p>
        </w:tc>
      </w:tr>
      <w:tr>
        <w:tc>
          <w:tcPr/>
          <w:p>
            <w:pPr>
              <w:pStyle w:val="Compact"/>
              <w:jc w:val="left"/>
            </w:pPr>
            <w:r>
              <w:t xml:space="preserve">Câu hỏi</w:t>
            </w:r>
          </w:p>
        </w:tc>
        <w:tc>
          <w:tcPr/>
          <w:p>
            <w:pPr>
              <w:pStyle w:val="Compact"/>
              <w:jc w:val="left"/>
            </w:pPr>
            <w:r>
              <w:rPr>
                <w:bCs/>
                <w:b/>
              </w:rPr>
              <w:t xml:space="preserve">What shape</w:t>
            </w:r>
            <w:r>
              <w:t xml:space="preserve">: mối quan hệ I–P trong Chinese manufacturing SMEs có phi tuyến không</w:t>
            </w:r>
          </w:p>
        </w:tc>
        <w:tc>
          <w:tcPr/>
          <w:p>
            <w:pPr>
              <w:pStyle w:val="Compact"/>
              <w:jc w:val="left"/>
            </w:pPr>
            <w:r>
              <w:rPr>
                <w:bCs/>
                <w:b/>
              </w:rPr>
              <w:t xml:space="preserve">Whether shape shifts over time</w:t>
            </w:r>
            <w:r>
              <w:t xml:space="preserve">: hình dạng đó có ổn định giữa 2012 và 2024 không</w:t>
            </w:r>
          </w:p>
        </w:tc>
      </w:tr>
      <w:tr>
        <w:tc>
          <w:tcPr/>
          <w:p>
            <w:pPr>
              <w:pStyle w:val="Compact"/>
              <w:jc w:val="left"/>
            </w:pPr>
            <w:r>
              <w:t xml:space="preserve">Coverage thời gian</w:t>
            </w:r>
          </w:p>
        </w:tc>
        <w:tc>
          <w:tcPr/>
          <w:p>
            <w:pPr>
              <w:pStyle w:val="Compact"/>
              <w:jc w:val="left"/>
            </w:pPr>
            <w:r>
              <w:t xml:space="preserve">Một wave duy nhất</w:t>
            </w:r>
          </w:p>
        </w:tc>
        <w:tc>
          <w:tcPr/>
          <w:p>
            <w:pPr>
              <w:pStyle w:val="Compact"/>
              <w:jc w:val="left"/>
            </w:pPr>
            <w:r>
              <w:t xml:space="preserve">Hai wave (2012 và 2024)</w:t>
            </w:r>
          </w:p>
        </w:tc>
      </w:tr>
      <w:tr>
        <w:tc>
          <w:tcPr/>
          <w:p>
            <w:pPr>
              <w:pStyle w:val="Compact"/>
              <w:jc w:val="left"/>
            </w:pPr>
            <w:r>
              <w:t xml:space="preserve">Trọng tâm lý thuyết</w:t>
            </w:r>
          </w:p>
        </w:tc>
        <w:tc>
          <w:tcPr/>
          <w:p>
            <w:pPr>
              <w:pStyle w:val="Compact"/>
              <w:jc w:val="left"/>
            </w:pPr>
            <w:r>
              <w:t xml:space="preserve">Phi tuyến tính của quan hệ I–P</w:t>
            </w:r>
          </w:p>
        </w:tc>
        <w:tc>
          <w:tcPr/>
          <w:p>
            <w:pPr>
              <w:pStyle w:val="Compact"/>
              <w:jc w:val="left"/>
            </w:pPr>
            <w:r>
              <w:t xml:space="preserve">Tương tác FSTS × Year và dịch chuyển của turning point</w:t>
            </w:r>
          </w:p>
        </w:tc>
      </w:tr>
      <w:tr>
        <w:tc>
          <w:tcPr/>
          <w:p>
            <w:pPr>
              <w:pStyle w:val="Compact"/>
              <w:jc w:val="left"/>
            </w:pPr>
            <w:r>
              <w:t xml:space="preserve">Thước đo performance</w:t>
            </w:r>
          </w:p>
        </w:tc>
        <w:tc>
          <w:tcPr/>
          <w:p>
            <w:pPr>
              <w:pStyle w:val="Compact"/>
              <w:jc w:val="left"/>
            </w:pPr>
            <w:r>
              <w:t xml:space="preserve">(theo P2 gốc)</w:t>
            </w:r>
          </w:p>
        </w:tc>
        <w:tc>
          <w:tcPr/>
          <w:p>
            <w:pPr>
              <w:pStyle w:val="Compact"/>
              <w:jc w:val="left"/>
            </w:pPr>
            <m:oMath>
              <m:r>
                <m:rPr>
                  <m:sty m:val="p"/>
                </m:rPr>
                <m:t>ln</m:t>
              </m:r>
            </m:oMath>
            <w:r>
              <w:t xml:space="preserve">(labor productivity) đồng nhất với P1</w:t>
            </w:r>
          </w:p>
        </w:tc>
      </w:tr>
      <w:tr>
        <w:tc>
          <w:tcPr/>
          <w:p>
            <w:pPr>
              <w:pStyle w:val="Compact"/>
              <w:jc w:val="left"/>
            </w:pPr>
            <w:r>
              <w:t xml:space="preserve">Đóng góp chính</w:t>
            </w:r>
          </w:p>
        </w:tc>
        <w:tc>
          <w:tcPr/>
          <w:p>
            <w:pPr>
              <w:pStyle w:val="Compact"/>
              <w:jc w:val="left"/>
            </w:pPr>
            <w:r>
              <w:t xml:space="preserve">Cơ chế phi tuyến</w:t>
            </w:r>
          </w:p>
        </w:tc>
        <w:tc>
          <w:tcPr/>
          <w:p>
            <w:pPr>
              <w:pStyle w:val="Compact"/>
              <w:jc w:val="left"/>
            </w:pPr>
            <w:r>
              <w:t xml:space="preserve">Độ bền của cơ chế qua thời gian</w:t>
            </w:r>
          </w:p>
        </w:tc>
      </w:tr>
    </w:tbl>
    <w:p>
      <w:pPr>
        <w:pStyle w:val="BodyText"/>
      </w:pPr>
      <w:r>
        <w:t xml:space="preserve">Differentiation này rất quan trọng để hội đồng tránh phản biện</w:t>
      </w:r>
      <w:r>
        <w:t xml:space="preserve"> </w:t>
      </w:r>
      <w:r>
        <w:t xml:space="preserve">“</w:t>
      </w:r>
      <w:r>
        <w:t xml:space="preserve">trùng lặp P2</w:t>
      </w:r>
      <w:r>
        <w:t xml:space="preserve">”</w:t>
      </w:r>
      <w:r>
        <w:t xml:space="preserve">. P5 phải có một section rõ ràng về</w:t>
      </w:r>
      <w:r>
        <w:t xml:space="preserve"> </w:t>
      </w:r>
      <w:r>
        <w:t xml:space="preserve">“</w:t>
      </w:r>
      <w:r>
        <w:t xml:space="preserve">Differentiation from Do &amp; Phan (2026)</w:t>
      </w:r>
      <w:r>
        <w:t xml:space="preserve">”</w:t>
      </w:r>
      <w:r>
        <w:t xml:space="preserve"> </w:t>
      </w:r>
      <w:r>
        <w:t xml:space="preserve">trong introduction.</w:t>
      </w:r>
    </w:p>
    <w:bookmarkEnd w:id="21"/>
    <w:bookmarkEnd w:id="22"/>
    <w:bookmarkStart w:id="25" w:name="cơ-sở-kế-thừa"/>
    <w:p>
      <w:pPr>
        <w:pStyle w:val="Heading2"/>
      </w:pPr>
      <w:r>
        <w:t xml:space="preserve">2. Cơ sở kế thừa</w:t>
      </w:r>
    </w:p>
    <w:bookmarkStart w:id="23" w:name="literature-về-china-ip-relationship"/>
    <w:p>
      <w:pPr>
        <w:pStyle w:val="Heading3"/>
      </w:pPr>
      <w:r>
        <w:t xml:space="preserve">2.1 Literature về China I–P relationship</w:t>
      </w:r>
    </w:p>
    <w:p>
      <w:pPr>
        <w:pStyle w:val="FirstParagraph"/>
      </w:pPr>
      <w:r>
        <w:t xml:space="preserve">Nghiên cứu China về internationalization–performance đã phát triển qua nhiều hướng. Xiao et al. (2013) cho thấy mối quan hệ I–P trong doanh nghiệp Trung Quốc có dạng S-curve và phụ thuộc vào governance structure cùng degree of centralized control. Chen và Tan (2012) chứng minh hiệu quả của quốc tế hóa khác nhau theo region effects, trong đó mở rộng trong Greater China cho lợi ích cao hơn. Feng et al. (2019) thấy rằng hình dạng quan hệ trong Yangtze River Delta region không đồng nhất với national pattern. Các nghiên cứu gần hơn như Li et al. (2022), Zhang và Wei (2022), Liu và Zhang (2024) tiếp tục mở rộng theo hướng social networks, proprietary assets, geopolitical risk.</w:t>
      </w:r>
    </w:p>
    <w:bookmarkEnd w:id="23"/>
    <w:bookmarkStart w:id="24" w:name="luận-điểm-kế-thừa-chính"/>
    <w:p>
      <w:pPr>
        <w:pStyle w:val="Heading3"/>
      </w:pPr>
      <w:r>
        <w:t xml:space="preserve">2.2 Luận điểm kế thừa chính</w:t>
      </w:r>
    </w:p>
    <w:p>
      <w:pPr>
        <w:numPr>
          <w:ilvl w:val="0"/>
          <w:numId w:val="1001"/>
        </w:numPr>
        <w:pStyle w:val="Compact"/>
      </w:pPr>
      <w:r>
        <w:rPr>
          <w:bCs/>
          <w:b/>
        </w:rPr>
        <w:t xml:space="preserve">Phi tuyến</w:t>
      </w:r>
      <w:r>
        <w:t xml:space="preserve">: Lu và Beamish (2004); Hitt et al. (1997); Contractor et al. (2003).</w:t>
      </w:r>
    </w:p>
    <w:p>
      <w:pPr>
        <w:numPr>
          <w:ilvl w:val="0"/>
          <w:numId w:val="1001"/>
        </w:numPr>
        <w:pStyle w:val="Compact"/>
      </w:pPr>
      <w:r>
        <w:rPr>
          <w:bCs/>
          <w:b/>
        </w:rPr>
        <w:t xml:space="preserve">Temporal evolution</w:t>
      </w:r>
      <w:r>
        <w:t xml:space="preserve">: Wu et al. (2022) với twenty-year meta-analysis về EMNEs.</w:t>
      </w:r>
    </w:p>
    <w:p>
      <w:pPr>
        <w:numPr>
          <w:ilvl w:val="0"/>
          <w:numId w:val="1001"/>
        </w:numPr>
        <w:pStyle w:val="Compact"/>
      </w:pPr>
      <w:r>
        <w:rPr>
          <w:bCs/>
          <w:b/>
        </w:rPr>
        <w:t xml:space="preserve">China specifically</w:t>
      </w:r>
      <w:r>
        <w:t xml:space="preserve">: Xiao et al. (2013); Chen và Tan (2012); Li et al. (2022).</w:t>
      </w:r>
    </w:p>
    <w:p>
      <w:pPr>
        <w:numPr>
          <w:ilvl w:val="0"/>
          <w:numId w:val="1001"/>
        </w:numPr>
        <w:pStyle w:val="Compact"/>
      </w:pPr>
      <w:r>
        <w:rPr>
          <w:bCs/>
          <w:b/>
        </w:rPr>
        <w:t xml:space="preserve">Digital capability moderator</w:t>
      </w:r>
      <w:r>
        <w:t xml:space="preserve">: Bhandari et al. (2023); Verhoef et al. (2021); Banalieva và Dhanaraj (2019).</w:t>
      </w:r>
    </w:p>
    <w:bookmarkEnd w:id="24"/>
    <w:bookmarkEnd w:id="25"/>
    <w:bookmarkStart w:id="28" w:name="câu-hỏi-nghiên-cứu"/>
    <w:p>
      <w:pPr>
        <w:pStyle w:val="Heading2"/>
      </w:pPr>
      <w:r>
        <w:t xml:space="preserve">3. Câu hỏi nghiên cứu</w:t>
      </w:r>
    </w:p>
    <w:bookmarkStart w:id="26" w:name="rq-trung-tâm"/>
    <w:p>
      <w:pPr>
        <w:pStyle w:val="Heading3"/>
      </w:pPr>
      <w:r>
        <w:t xml:space="preserve">3.1 RQ trung tâm</w:t>
      </w:r>
    </w:p>
    <w:p>
      <w:pPr>
        <w:pStyle w:val="FirstParagraph"/>
      </w:pPr>
      <w:r>
        <w:t xml:space="preserve">Mối quan hệ giữa mức độ quốc tế hóa và hiệu quả hoạt động của doanh nghiệp Trung Quốc đã thay đổi như thế nào giữa 2012 và 2024, và sự thay đổi đó chịu ảnh hưởng như thế nào bởi năng lực công nghệ và năng lực số?</w:t>
      </w:r>
    </w:p>
    <w:bookmarkEnd w:id="26"/>
    <w:bookmarkStart w:id="27" w:name="sub-rqs"/>
    <w:p>
      <w:pPr>
        <w:pStyle w:val="Heading3"/>
      </w:pPr>
      <w:r>
        <w:t xml:space="preserve">3.2 Sub-RQs</w:t>
      </w:r>
    </w:p>
    <w:p>
      <w:pPr>
        <w:numPr>
          <w:ilvl w:val="0"/>
          <w:numId w:val="1002"/>
        </w:numPr>
        <w:pStyle w:val="Compact"/>
      </w:pPr>
      <w:r>
        <w:rPr>
          <w:bCs/>
          <w:b/>
        </w:rPr>
        <w:t xml:space="preserve">RQ-P5-1</w:t>
      </w:r>
      <w:r>
        <w:t xml:space="preserve">: Quan hệ FSTS–firm performance có dạng phi tuyến (chữ U ngược) trong cả hai wave 2012 và 2024 hay không?</w:t>
      </w:r>
    </w:p>
    <w:p>
      <w:pPr>
        <w:numPr>
          <w:ilvl w:val="0"/>
          <w:numId w:val="1002"/>
        </w:numPr>
        <w:pStyle w:val="Compact"/>
      </w:pPr>
      <w:r>
        <w:rPr>
          <w:bCs/>
          <w:b/>
        </w:rPr>
        <w:t xml:space="preserve">RQ-P5-2</w:t>
      </w:r>
      <w:r>
        <w:t xml:space="preserve">: Turning point của đường cong có dịch chuyển giữa hai wave không?</w:t>
      </w:r>
    </w:p>
    <w:p>
      <w:pPr>
        <w:numPr>
          <w:ilvl w:val="0"/>
          <w:numId w:val="1002"/>
        </w:numPr>
        <w:pStyle w:val="Compact"/>
      </w:pPr>
      <w:r>
        <w:rPr>
          <w:bCs/>
          <w:b/>
        </w:rPr>
        <w:t xml:space="preserve">RQ-P5-3</w:t>
      </w:r>
      <w:r>
        <w:t xml:space="preserve">: Technological capability và digital adoption có điều tiết mối quan hệ này khác nhau giữa hai wave không?</w:t>
      </w:r>
    </w:p>
    <w:bookmarkEnd w:id="27"/>
    <w:bookmarkEnd w:id="28"/>
    <w:bookmarkStart w:id="34" w:name="hệ-giả-thuyết"/>
    <w:p>
      <w:pPr>
        <w:pStyle w:val="Heading2"/>
      </w:pPr>
      <w:r>
        <w:t xml:space="preserve">4. Hệ giả thuyết</w:t>
      </w:r>
    </w:p>
    <w:p>
      <w:pPr>
        <w:pStyle w:val="BlockText"/>
      </w:pPr>
      <w:r>
        <w:rPr>
          <w:bCs/>
          <w:b/>
        </w:rPr>
        <w:t xml:space="preserve">Lưu ý đánh số:</w:t>
      </w:r>
      <w:r>
        <w:t xml:space="preserve"> </w:t>
      </w:r>
      <w:r>
        <w:t xml:space="preserve">Các ký hiệu H1-P5, H2-P5, … là đánh số nội bộ của bài báo P5, không trùng với hệ giả thuyết H1-H6 của luận án tổng thể (xem Chương 2 luận án). Khi viết manuscript, nên đổi tên thành H1, H2, … và làm rõ phạm vi nội bộ.</w:t>
      </w:r>
    </w:p>
    <w:bookmarkStart w:id="29" w:name="h1-p5-phi-tuyến-quan-hệ-fstsperformance"/>
    <w:p>
      <w:pPr>
        <w:pStyle w:val="Heading3"/>
      </w:pPr>
      <w:r>
        <w:t xml:space="preserve">H1-P5: Phi tuyến quan hệ FSTS–performance</w:t>
      </w:r>
    </w:p>
    <w:p>
      <w:pPr>
        <w:pStyle w:val="FirstParagraph"/>
      </w:pPr>
      <w:r>
        <w:t xml:space="preserve">Mối quan hệ FSTS–</w:t>
      </w:r>
      <m:oMath>
        <m:r>
          <m:rPr>
            <m:sty m:val="p"/>
          </m:rPr>
          <m:t>ln</m:t>
        </m:r>
      </m:oMath>
      <w:r>
        <w:t xml:space="preserve">(LP) của doanh nghiệp Trung Quốc có dạng phi tuyến (chữ U ngược), với</w:t>
      </w:r>
      <w:r>
        <w:t xml:space="preserve"> </w:t>
      </w:r>
      <m:oMath>
        <m:sSub>
          <m:e>
            <m:r>
              <m:t>β</m:t>
            </m:r>
          </m:e>
          <m:sub>
            <m:r>
              <m:t>1</m:t>
            </m:r>
          </m:sub>
        </m:sSub>
        <m:r>
          <m:rPr>
            <m:sty m:val="p"/>
          </m:rPr>
          <m:t>&gt;</m:t>
        </m:r>
        <m:r>
          <m:t>0</m:t>
        </m:r>
      </m:oMath>
      <w:r>
        <w:t xml:space="preserve"> </w:t>
      </w:r>
      <w:r>
        <w:t xml:space="preserve">và</w:t>
      </w:r>
      <w:r>
        <w:t xml:space="preserve"> </w:t>
      </w:r>
      <m:oMath>
        <m:sSub>
          <m:e>
            <m:r>
              <m:t>β</m:t>
            </m:r>
          </m:e>
          <m:sub>
            <m:r>
              <m:t>2</m:t>
            </m:r>
          </m:sub>
        </m:sSub>
        <m:r>
          <m:rPr>
            <m:sty m:val="p"/>
          </m:rPr>
          <m:t>&lt;</m:t>
        </m:r>
        <m:r>
          <m:t>0</m:t>
        </m:r>
      </m:oMath>
      <w:r>
        <w:t xml:space="preserve"> </w:t>
      </w:r>
      <w:r>
        <w:t xml:space="preserve">(Lu &amp; Beamish, 2004; Hitt et al., 1997).</w:t>
      </w:r>
    </w:p>
    <w:bookmarkEnd w:id="29"/>
    <w:bookmarkStart w:id="30" w:name="h2-p5-dịch-chuyển-turning-point"/>
    <w:p>
      <w:pPr>
        <w:pStyle w:val="Heading3"/>
      </w:pPr>
      <w:r>
        <w:t xml:space="preserve">H2-P5: Dịch chuyển turning point</w:t>
      </w:r>
    </w:p>
    <w:p>
      <w:pPr>
        <w:pStyle w:val="FirstParagraph"/>
      </w:pPr>
      <w:r>
        <w:t xml:space="preserve">Turning point</w:t>
      </w:r>
      <w:r>
        <w:t xml:space="preserve"> </w:t>
      </w:r>
      <m:oMath>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w:t>
      </w:r>
      <w:r>
        <w:t xml:space="preserve">khác biệt có ý nghĩa thống kê giữa 2012 và 2024, phản ánh sự trưởng thành của thị trường và năng lực doanh nghiệp (Wu et al., 2022; Xiao et al., 2013).</w:t>
      </w:r>
    </w:p>
    <w:bookmarkEnd w:id="30"/>
    <w:bookmarkStart w:id="31" w:name="X4e34a07f63c6c59029c2f69e19f226c400785c9"/>
    <w:p>
      <w:pPr>
        <w:pStyle w:val="Heading3"/>
      </w:pPr>
      <w:r>
        <w:t xml:space="preserve">H3-P5: Technological capability như level shifter</w:t>
      </w:r>
    </w:p>
    <w:p>
      <w:pPr>
        <w:pStyle w:val="FirstParagraph"/>
      </w:pPr>
      <w:r>
        <w:t xml:space="preserve">Technological capability nâng mặt bằng performance chung mà không nhất thiết thay đổi hình dạng của đường cong I–P (Barney, 1991; Bhandari et al., 2023).</w:t>
      </w:r>
    </w:p>
    <w:bookmarkEnd w:id="31"/>
    <w:bookmarkStart w:id="32" w:name="X3e6e901b1a0e607edce10d0aef966b4367b84bc"/>
    <w:p>
      <w:pPr>
        <w:pStyle w:val="Heading3"/>
      </w:pPr>
      <w:r>
        <w:t xml:space="preserve">H4-P5: Digital adoption như shape modifier</w:t>
      </w:r>
    </w:p>
    <w:p>
      <w:pPr>
        <w:pStyle w:val="FirstParagraph"/>
      </w:pPr>
      <w:r>
        <w:t xml:space="preserve">Digital adoption điều tiết đường cong I–P theo hướng giảm chi phí phối hợp ở mức FSTS cao, bằng cách làm thay đổi độ dốc hoặc độ cong (Verhoef et al., 2021; Stallkamp &amp; Schotter, 2021).</w:t>
      </w:r>
    </w:p>
    <w:bookmarkEnd w:id="32"/>
    <w:bookmarkStart w:id="33" w:name="h5-p5-tương-tác-ba-chiều"/>
    <w:p>
      <w:pPr>
        <w:pStyle w:val="Heading3"/>
      </w:pPr>
      <w:r>
        <w:t xml:space="preserve">H5-P5: Tương tác ba chiều</w:t>
      </w:r>
    </w:p>
    <w:p>
      <w:pPr>
        <w:pStyle w:val="FirstParagraph"/>
      </w:pPr>
      <w:r>
        <w:t xml:space="preserve">Tương tác</w:t>
      </w:r>
      <w:r>
        <w:t xml:space="preserve"> </w:t>
      </w:r>
      <m:oMath>
        <m:r>
          <m:t>F</m:t>
        </m:r>
        <m:r>
          <m:t>S</m:t>
        </m:r>
        <m:r>
          <m:t>T</m:t>
        </m:r>
        <m:r>
          <m:t>S</m:t>
        </m:r>
        <m:r>
          <m:rPr>
            <m:sty m:val="p"/>
          </m:rPr>
          <m:t>×</m:t>
        </m:r>
        <m:r>
          <m:rPr>
            <m:nor/>
            <m:sty m:val="p"/>
          </m:rPr>
          <m:t>DAI</m:t>
        </m:r>
        <m:r>
          <m:rPr>
            <m:sty m:val="p"/>
          </m:rPr>
          <m:t>×</m:t>
        </m:r>
        <m:r>
          <m:t>Y</m:t>
        </m:r>
        <m:r>
          <m:t>e</m:t>
        </m:r>
        <m:r>
          <m:t>a</m:t>
        </m:r>
        <m:sSub>
          <m:e>
            <m:r>
              <m:t>r</m:t>
            </m:r>
          </m:e>
          <m:sub>
            <m:r>
              <m:t>2024</m:t>
            </m:r>
          </m:sub>
        </m:sSub>
      </m:oMath>
      <w:r>
        <w:t xml:space="preserve"> </w:t>
      </w:r>
      <w:r>
        <w:t xml:space="preserve">có ý nghĩa, cho thấy vai trò của digital adoption tăng cường theo thời gian khi nền kinh tế Trung Quốc chuyển đổi số (Banalieva &amp; Dhanaraj, 2019; Yang et al., 2025).</w:t>
      </w:r>
    </w:p>
    <w:p>
      <w:pPr>
        <w:pStyle w:val="BlockText"/>
      </w:pPr>
      <w:r>
        <w:rPr>
          <w:iCs/>
          <w:i/>
        </w:rPr>
        <w:t xml:space="preserve">Kết quả thực tế (Chương 4 §4.4.3):</w:t>
      </w:r>
      <w:r>
        <w:t xml:space="preserve"> </w:t>
      </w:r>
      <w:r>
        <w:t xml:space="preserve">H5-P5</w:t>
      </w:r>
      <w:r>
        <w:t xml:space="preserve"> </w:t>
      </w:r>
      <w:r>
        <w:rPr>
          <w:bCs/>
          <w:b/>
        </w:rPr>
        <w:t xml:space="preserve">không xác nhận</w:t>
      </w:r>
      <w:r>
        <w:t xml:space="preserve"> </w:t>
      </w:r>
      <w:r>
        <w:t xml:space="preserve">sau hiệu chỉnh đa kiểm định Bonferroni. Tương tác</w:t>
      </w:r>
      <w:r>
        <w:t xml:space="preserve"> </w:t>
      </w:r>
      <m:oMath>
        <m:r>
          <m:t>F</m:t>
        </m:r>
        <m:r>
          <m:t>S</m:t>
        </m:r>
        <m:r>
          <m:t>T</m:t>
        </m:r>
        <m:r>
          <m:t>S</m:t>
        </m:r>
        <m:r>
          <m:rPr>
            <m:sty m:val="p"/>
          </m:rPr>
          <m:t>²</m:t>
        </m:r>
        <m:r>
          <m:rPr>
            <m:sty m:val="p"/>
          </m:rPr>
          <m:t>×</m:t>
        </m:r>
        <m:r>
          <m:t>Y</m:t>
        </m:r>
        <m:r>
          <m:t>e</m:t>
        </m:r>
        <m:r>
          <m:t>a</m:t>
        </m:r>
        <m:sSub>
          <m:e>
            <m:r>
              <m:t>r</m:t>
            </m:r>
          </m:e>
          <m:sub>
            <m:r>
              <m:t>2024</m:t>
            </m:r>
          </m:sub>
        </m:sSub>
      </m:oMath>
      <w:r>
        <w:t xml:space="preserve"> </w:t>
      </w:r>
      <w:r>
        <w:t xml:space="preserve">trên TCI cho F1 = 3.26, p = .039 — đạt α = .05 thông thường nhưng không vượt ngưỡng Bonferroni α* = 0.017 (3 kiểm định họ). Khi viết manuscript, nên (i) báo cáo cả F-statistic gốc và quyết định không-xác-nhận sau Bonferroni; (ii) tránh ngôn ngữ kiểu</w:t>
      </w:r>
      <w:r>
        <w:t xml:space="preserve"> </w:t>
      </w:r>
      <w:r>
        <w:t xml:space="preserve">“</w:t>
      </w:r>
      <w:r>
        <w:t xml:space="preserve">marginal significance</w:t>
      </w:r>
      <w:r>
        <w:t xml:space="preserve">”</w:t>
      </w:r>
      <w:r>
        <w:t xml:space="preserve"> </w:t>
      </w:r>
      <w:r>
        <w:t xml:space="preserve">cho p = .039 vì đã thất bại ngưỡng tiền đăng ký; (iii) trình bày như null finding informational consistent với hằng số sinh tồn quan hệ I-P qua một thập kỷ chuyển đổi số Trung Quốc.</w:t>
      </w:r>
    </w:p>
    <w:bookmarkEnd w:id="33"/>
    <w:bookmarkEnd w:id="34"/>
    <w:bookmarkStart w:id="37" w:name="dữ-liệu"/>
    <w:p>
      <w:pPr>
        <w:pStyle w:val="Heading2"/>
      </w:pPr>
      <w:r>
        <w:t xml:space="preserve">5. Dữ liệu</w:t>
      </w:r>
    </w:p>
    <w:bookmarkStart w:id="35" w:name="nguồn-dữ-liệu"/>
    <w:p>
      <w:pPr>
        <w:pStyle w:val="Heading3"/>
      </w:pPr>
      <w:r>
        <w:t xml:space="preserve">5.1 Nguồn dữ liệu</w:t>
      </w:r>
    </w:p>
    <w:p>
      <w:pPr>
        <w:pStyle w:val="FirstParagraph"/>
      </w:pPr>
      <w:r>
        <w:t xml:space="preserve">WBES China — hai wave 2012 và 2024 (World Bank, n.d., 2019). Theo P1, mainland China được khảo sát ở hai wave này trong nghiên cứu emerging Asia.</w:t>
      </w:r>
    </w:p>
    <w:bookmarkEnd w:id="35"/>
    <w:bookmarkStart w:id="36" w:name="cấu-trúc-mẫu"/>
    <w:p>
      <w:pPr>
        <w:pStyle w:val="Heading3"/>
      </w:pPr>
      <w:r>
        <w:t xml:space="preserve">5.2 Cấu trúc mẫu</w:t>
      </w:r>
    </w:p>
    <w:p>
      <w:pPr>
        <w:numPr>
          <w:ilvl w:val="0"/>
          <w:numId w:val="1003"/>
        </w:numPr>
        <w:pStyle w:val="Compact"/>
      </w:pPr>
      <w:r>
        <w:t xml:space="preserve">Repeated cross-sections (không phải panel theo cùng doanh nghiệp).</w:t>
      </w:r>
    </w:p>
    <w:p>
      <w:pPr>
        <w:numPr>
          <w:ilvl w:val="0"/>
          <w:numId w:val="1003"/>
        </w:numPr>
        <w:pStyle w:val="Compact"/>
      </w:pPr>
      <w:r>
        <w:t xml:space="preserve">Lọc: doanh nghiệp chính thức, phải có dữ liệu về sales và employment.</w:t>
      </w:r>
    </w:p>
    <w:p>
      <w:pPr>
        <w:numPr>
          <w:ilvl w:val="0"/>
          <w:numId w:val="1003"/>
        </w:numPr>
        <w:pStyle w:val="Compact"/>
      </w:pPr>
      <w:r>
        <w:t xml:space="preserve">Mẫu dự kiến: vài trăm đến vài nghìn doanh nghiệp mỗi wave (theo cấu trúc WBES China).</w:t>
      </w:r>
    </w:p>
    <w:bookmarkEnd w:id="36"/>
    <w:bookmarkEnd w:id="37"/>
    <w:bookmarkStart w:id="42" w:name="đo-lường-biến"/>
    <w:p>
      <w:pPr>
        <w:pStyle w:val="Heading2"/>
      </w:pPr>
      <w:r>
        <w:t xml:space="preserve">6. Đo lường biến</w:t>
      </w:r>
    </w:p>
    <w:bookmarkStart w:id="38" w:name="biến-phụ-thuộc"/>
    <w:p>
      <w:pPr>
        <w:pStyle w:val="Heading3"/>
      </w:pPr>
      <w:r>
        <w:t xml:space="preserve">6.1 Biến phụ thuộc</w:t>
      </w:r>
    </w:p>
    <w:p>
      <w:pPr>
        <w:pStyle w:val="FirstParagraph"/>
      </w:pPr>
      <m:oMath>
        <m:r>
          <m:rPr>
            <m:sty m:val="p"/>
          </m:rPr>
          <m:t>ln</m:t>
        </m:r>
        <m:d>
          <m:dPr>
            <m:begChr m:val="("/>
            <m:endChr m:val=")"/>
            <m:sepChr m:val=""/>
            <m:grow/>
          </m:dPr>
          <m:e>
            <m:r>
              <m:t>L</m:t>
            </m:r>
            <m:r>
              <m:t>P</m:t>
            </m:r>
          </m:e>
        </m:d>
        <m:r>
          <m:rPr>
            <m:sty m:val="p"/>
          </m:rPr>
          <m:t>=</m:t>
        </m:r>
        <m:r>
          <m:rPr>
            <m:sty m:val="p"/>
          </m:rPr>
          <m:t>ln</m:t>
        </m:r>
        <m:d>
          <m:dPr>
            <m:begChr m:val="("/>
            <m:endChr m:val=")"/>
            <m:sepChr m:val=""/>
            <m:grow/>
          </m:dPr>
          <m:e>
            <m:r>
              <m:rPr>
                <m:nor/>
                <m:sty m:val="p"/>
              </m:rPr>
              <m:t>annual sales</m:t>
            </m:r>
            <m:r>
              <m:rPr>
                <m:sty m:val="p"/>
              </m:rPr>
              <m:t>/</m:t>
            </m:r>
            <m:r>
              <m:rPr>
                <m:nor/>
                <m:sty m:val="p"/>
              </m:rPr>
              <m:t>permanent full-time employees</m:t>
            </m:r>
          </m:e>
        </m:d>
      </m:oMath>
    </w:p>
    <w:bookmarkEnd w:id="38"/>
    <w:bookmarkStart w:id="39" w:name="biến-độc-lập"/>
    <w:p>
      <w:pPr>
        <w:pStyle w:val="Heading3"/>
      </w:pPr>
      <w:r>
        <w:t xml:space="preserve">6.2 Biến độc lập</w:t>
      </w:r>
    </w:p>
    <w:p>
      <w:pPr>
        <w:numPr>
          <w:ilvl w:val="0"/>
          <w:numId w:val="1004"/>
        </w:numPr>
        <w:pStyle w:val="Compact"/>
      </w:pPr>
      <m:oMath>
        <m:r>
          <m:t>F</m:t>
        </m:r>
        <m:r>
          <m:t>S</m:t>
        </m:r>
        <m:r>
          <m:t>T</m:t>
        </m:r>
        <m:r>
          <m:t>S</m:t>
        </m:r>
      </m:oMath>
      <w:r>
        <w:t xml:space="preserve">: tỉ lệ doanh thu xuất khẩu trên tổng doanh thu.</w:t>
      </w:r>
    </w:p>
    <w:p>
      <w:pPr>
        <w:numPr>
          <w:ilvl w:val="0"/>
          <w:numId w:val="1004"/>
        </w:numPr>
        <w:pStyle w:val="Compact"/>
      </w:pPr>
      <m:oMath>
        <m:r>
          <m:t>F</m:t>
        </m:r>
        <m:r>
          <m:t>S</m:t>
        </m:r>
        <m:r>
          <m:t>T</m:t>
        </m:r>
        <m:sSup>
          <m:e>
            <m:r>
              <m:t>S</m:t>
            </m:r>
          </m:e>
          <m:sup>
            <m:r>
              <m:t>2</m:t>
            </m:r>
          </m:sup>
        </m:sSup>
      </m:oMath>
      <w:r>
        <w:t xml:space="preserve">: bình phương của FSTS để kiểm định phi tuyến.</w:t>
      </w:r>
    </w:p>
    <w:p>
      <w:pPr>
        <w:numPr>
          <w:ilvl w:val="0"/>
          <w:numId w:val="1004"/>
        </w:numPr>
        <w:pStyle w:val="Compact"/>
      </w:pPr>
      <m:oMath>
        <m:r>
          <m:t>Y</m:t>
        </m:r>
        <m:r>
          <m:t>e</m:t>
        </m:r>
        <m:r>
          <m:t>a</m:t>
        </m:r>
        <m:sSub>
          <m:e>
            <m:r>
              <m:t>r</m:t>
            </m:r>
          </m:e>
          <m:sub>
            <m:r>
              <m:t>2024</m:t>
            </m:r>
          </m:sub>
        </m:sSub>
      </m:oMath>
      <w:r>
        <w:t xml:space="preserve">: dummy = 1 nếu wave 2024, = 0 nếu wave 2012.</w:t>
      </w:r>
    </w:p>
    <w:bookmarkEnd w:id="39"/>
    <w:bookmarkStart w:id="40" w:name="moderators"/>
    <w:p>
      <w:pPr>
        <w:pStyle w:val="Heading3"/>
      </w:pPr>
      <w:r>
        <w:t xml:space="preserve">6.3 Moderators</w:t>
      </w:r>
    </w:p>
    <w:p>
      <w:pPr>
        <w:numPr>
          <w:ilvl w:val="0"/>
          <w:numId w:val="1005"/>
        </w:numPr>
        <w:pStyle w:val="Compact"/>
      </w:pPr>
      <m:oMath>
        <m:r>
          <m:t>T</m:t>
        </m:r>
        <m:r>
          <m:t>C</m:t>
        </m:r>
        <m:r>
          <m:t>I</m:t>
        </m:r>
      </m:oMath>
      <w:r>
        <w:t xml:space="preserve">: technological capability index (foreign tech licensing, R&amp;D, quality cert).</w:t>
      </w:r>
    </w:p>
    <w:p>
      <w:pPr>
        <w:numPr>
          <w:ilvl w:val="0"/>
          <w:numId w:val="1005"/>
        </w:numPr>
        <w:pStyle w:val="Compact"/>
      </w:pPr>
      <m:oMath>
        <m:r>
          <m:t>D</m:t>
        </m:r>
        <m:r>
          <m:t>A</m:t>
        </m:r>
        <m:r>
          <m:t>I</m:t>
        </m:r>
      </m:oMath>
      <w:r>
        <w:t xml:space="preserve">: digital adoption index (website, email, online sales).</w:t>
      </w:r>
    </w:p>
    <w:p>
      <w:pPr>
        <w:numPr>
          <w:ilvl w:val="0"/>
          <w:numId w:val="1005"/>
        </w:numPr>
        <w:pStyle w:val="Compact"/>
      </w:pPr>
      <w:r>
        <w:t xml:space="preserve">Tương tác:</w:t>
      </w:r>
      <w:r>
        <w:t xml:space="preserve"> </w:t>
      </w:r>
      <m:oMath>
        <m:r>
          <m:t>F</m:t>
        </m:r>
        <m:r>
          <m:t>S</m:t>
        </m:r>
        <m:r>
          <m:t>T</m:t>
        </m:r>
        <m:r>
          <m:t>S</m:t>
        </m:r>
        <m:r>
          <m:rPr>
            <m:sty m:val="p"/>
          </m:rPr>
          <m:t>×</m:t>
        </m:r>
        <m:r>
          <m:t>Y</m:t>
        </m:r>
        <m:r>
          <m:t>e</m:t>
        </m:r>
        <m:r>
          <m:t>a</m:t>
        </m:r>
        <m:sSub>
          <m:e>
            <m:r>
              <m:t>r</m:t>
            </m:r>
          </m:e>
          <m:sub>
            <m:r>
              <m:t>2024</m:t>
            </m:r>
          </m:sub>
        </m:sSub>
      </m:oMath>
      <w:r>
        <w:t xml:space="preserve">,</w:t>
      </w:r>
      <w:r>
        <w:t xml:space="preserve"> </w:t>
      </w:r>
      <m:oMath>
        <m:r>
          <m:t>F</m:t>
        </m:r>
        <m:r>
          <m:t>S</m:t>
        </m:r>
        <m:r>
          <m:t>T</m:t>
        </m:r>
        <m:sSup>
          <m:e>
            <m:r>
              <m:t>S</m:t>
            </m:r>
          </m:e>
          <m:sup>
            <m:r>
              <m:t>2</m:t>
            </m:r>
          </m:sup>
        </m:sSup>
        <m:r>
          <m:rPr>
            <m:sty m:val="p"/>
          </m:rPr>
          <m:t>×</m:t>
        </m:r>
        <m:r>
          <m:t>Y</m:t>
        </m:r>
        <m:r>
          <m:t>e</m:t>
        </m:r>
        <m:r>
          <m:t>a</m:t>
        </m:r>
        <m:sSub>
          <m:e>
            <m:r>
              <m:t>r</m:t>
            </m:r>
          </m:e>
          <m:sub>
            <m:r>
              <m:t>2024</m:t>
            </m:r>
          </m:sub>
        </m:sSub>
      </m:oMath>
      <w:r>
        <w:t xml:space="preserve">,</w:t>
      </w:r>
      <w:r>
        <w:t xml:space="preserve"> </w:t>
      </w:r>
      <m:oMath>
        <m:r>
          <m:t>F</m:t>
        </m:r>
        <m:r>
          <m:t>S</m:t>
        </m:r>
        <m:r>
          <m:t>T</m:t>
        </m:r>
        <m:r>
          <m:t>S</m:t>
        </m:r>
        <m:r>
          <m:rPr>
            <m:sty m:val="p"/>
          </m:rPr>
          <m:t>×</m:t>
        </m:r>
        <m:r>
          <m:t>T</m:t>
        </m:r>
        <m:r>
          <m:t>C</m:t>
        </m:r>
        <m:r>
          <m:t>I</m:t>
        </m:r>
      </m:oMath>
      <w:r>
        <w:t xml:space="preserve">,</w:t>
      </w:r>
      <w:r>
        <w:t xml:space="preserve"> </w:t>
      </w:r>
      <m:oMath>
        <m:r>
          <m:t>F</m:t>
        </m:r>
        <m:r>
          <m:t>S</m:t>
        </m:r>
        <m:r>
          <m:t>T</m:t>
        </m:r>
        <m:r>
          <m:t>S</m:t>
        </m:r>
        <m:r>
          <m:rPr>
            <m:sty m:val="p"/>
          </m:rPr>
          <m:t>×</m:t>
        </m:r>
        <m:r>
          <m:t>D</m:t>
        </m:r>
        <m:r>
          <m:t>A</m:t>
        </m:r>
        <m:r>
          <m:t>I</m:t>
        </m:r>
      </m:oMath>
      <w:r>
        <w:t xml:space="preserve">,</w:t>
      </w:r>
      <w:r>
        <w:t xml:space="preserve"> </w:t>
      </w:r>
      <m:oMath>
        <m:r>
          <m:t>F</m:t>
        </m:r>
        <m:r>
          <m:t>S</m:t>
        </m:r>
        <m:r>
          <m:t>T</m:t>
        </m:r>
        <m:r>
          <m:t>S</m:t>
        </m:r>
        <m:r>
          <m:rPr>
            <m:sty m:val="p"/>
          </m:rPr>
          <m:t>×</m:t>
        </m:r>
        <m:r>
          <m:t>D</m:t>
        </m:r>
        <m:r>
          <m:t>A</m:t>
        </m:r>
        <m:r>
          <m:t>I</m:t>
        </m:r>
        <m:r>
          <m:rPr>
            <m:sty m:val="p"/>
          </m:rPr>
          <m:t>×</m:t>
        </m:r>
        <m:r>
          <m:t>Y</m:t>
        </m:r>
        <m:r>
          <m:t>e</m:t>
        </m:r>
        <m:r>
          <m:t>a</m:t>
        </m:r>
        <m:sSub>
          <m:e>
            <m:r>
              <m:t>r</m:t>
            </m:r>
          </m:e>
          <m:sub>
            <m:r>
              <m:t>2024</m:t>
            </m:r>
          </m:sub>
        </m:sSub>
      </m:oMath>
      <w:r>
        <w:t xml:space="preserve">.</w:t>
      </w:r>
    </w:p>
    <w:bookmarkEnd w:id="40"/>
    <w:bookmarkStart w:id="41" w:name="biến-kiểm-soát"/>
    <w:p>
      <w:pPr>
        <w:pStyle w:val="Heading3"/>
      </w:pPr>
      <w:r>
        <w:t xml:space="preserve">6.4 Biến kiểm soát</w:t>
      </w:r>
    </w:p>
    <w:p>
      <w:pPr>
        <w:pStyle w:val="FirstParagraph"/>
      </w:pPr>
      <m:oMath>
        <m:r>
          <m:rPr>
            <m:sty m:val="p"/>
          </m:rPr>
          <m:t>ln</m:t>
        </m:r>
      </m:oMath>
      <w:r>
        <w:t xml:space="preserve">(employment), firm age, foreign ownership, sector dummy, region dummy, year fixed effect.</w:t>
      </w:r>
    </w:p>
    <w:bookmarkEnd w:id="41"/>
    <w:bookmarkEnd w:id="42"/>
    <w:bookmarkStart w:id="50" w:name="mô-hình-phân-tích"/>
    <w:p>
      <w:pPr>
        <w:pStyle w:val="Heading2"/>
      </w:pPr>
      <w:r>
        <w:t xml:space="preserve">7. Mô hình phân tích</w:t>
      </w:r>
    </w:p>
    <w:bookmarkStart w:id="43" w:name="m0-controls-only"/>
    <w:p>
      <w:pPr>
        <w:pStyle w:val="Heading3"/>
      </w:pPr>
      <w:r>
        <w:t xml:space="preserve">M0: Controls only</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r>
            <m:rPr>
              <m:sty m:val="b"/>
            </m:rPr>
            <m:t>γ</m:t>
          </m:r>
          <m:sSub>
            <m:e>
              <m:r>
                <m:rPr>
                  <m:sty m:val="b"/>
                </m:rPr>
                <m:t>X</m:t>
              </m:r>
            </m:e>
            <m:sub>
              <m:r>
                <m:t>i</m:t>
              </m:r>
            </m:sub>
          </m:sSub>
          <m:r>
            <m:rPr>
              <m:sty m:val="p"/>
            </m:rPr>
            <m:t>+</m:t>
          </m:r>
          <m:r>
            <m:t>Y</m:t>
          </m:r>
          <m:r>
            <m:t>e</m:t>
          </m:r>
          <m:r>
            <m:t>a</m:t>
          </m:r>
          <m:sSub>
            <m:e>
              <m:r>
                <m:t>r</m:t>
              </m:r>
            </m:e>
            <m:sub>
              <m:r>
                <m:t>2024</m:t>
              </m:r>
              <m:r>
                <m:rPr>
                  <m:sty m:val="p"/>
                </m:rPr>
                <m:t>,</m:t>
              </m:r>
              <m:r>
                <m:t>i</m:t>
              </m:r>
            </m:sub>
          </m:sSub>
          <m:r>
            <m:rPr>
              <m:sty m:val="p"/>
            </m:rPr>
            <m:t>+</m:t>
          </m:r>
          <m:sSub>
            <m:e>
              <m:r>
                <m:t>ε</m:t>
              </m:r>
            </m:e>
            <m:sub>
              <m:r>
                <m:t>i</m:t>
              </m:r>
            </m:sub>
          </m:sSub>
        </m:oMath>
      </m:oMathPara>
    </w:p>
    <w:bookmarkEnd w:id="43"/>
    <w:bookmarkStart w:id="44" w:name="m1-tuyến-tính"/>
    <w:p>
      <w:pPr>
        <w:pStyle w:val="Heading3"/>
      </w:pPr>
      <w:r>
        <w:t xml:space="preserve">M1: Tuyến tính</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r>
            <m:rPr>
              <m:sty m:val="b"/>
            </m:rPr>
            <m:t>γ</m:t>
          </m:r>
          <m:sSub>
            <m:e>
              <m:r>
                <m:rPr>
                  <m:sty m:val="b"/>
                </m:rPr>
                <m:t>X</m:t>
              </m:r>
            </m:e>
            <m:sub>
              <m:r>
                <m:t>i</m:t>
              </m:r>
            </m:sub>
          </m:sSub>
          <m:r>
            <m:rPr>
              <m:sty m:val="p"/>
            </m:rPr>
            <m:t>+</m:t>
          </m:r>
          <m:r>
            <m:t>Y</m:t>
          </m:r>
          <m:r>
            <m:t>e</m:t>
          </m:r>
          <m:r>
            <m:t>a</m:t>
          </m:r>
          <m:sSub>
            <m:e>
              <m:r>
                <m:t>r</m:t>
              </m:r>
            </m:e>
            <m:sub>
              <m:r>
                <m:t>2024</m:t>
              </m:r>
              <m:r>
                <m:rPr>
                  <m:sty m:val="p"/>
                </m:rPr>
                <m:t>,</m:t>
              </m:r>
              <m:r>
                <m:t>i</m:t>
              </m:r>
            </m:sub>
          </m:sSub>
          <m:r>
            <m:rPr>
              <m:sty m:val="p"/>
            </m:rPr>
            <m:t>+</m:t>
          </m:r>
          <m:sSub>
            <m:e>
              <m:r>
                <m:t>ε</m:t>
              </m:r>
            </m:e>
            <m:sub>
              <m:r>
                <m:t>i</m:t>
              </m:r>
            </m:sub>
          </m:sSub>
        </m:oMath>
      </m:oMathPara>
    </w:p>
    <w:bookmarkEnd w:id="44"/>
    <w:bookmarkStart w:id="45" w:name="m2-phi-tuyến-testing-h1-p5"/>
    <w:p>
      <w:pPr>
        <w:pStyle w:val="Heading3"/>
      </w:pPr>
      <w:r>
        <w:t xml:space="preserve">M2: Phi tuyến (testing H1-P5)</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r>
            <m:rPr>
              <m:sty m:val="b"/>
            </m:rPr>
            <m:t>γ</m:t>
          </m:r>
          <m:sSub>
            <m:e>
              <m:r>
                <m:rPr>
                  <m:sty m:val="b"/>
                </m:rPr>
                <m:t>X</m:t>
              </m:r>
            </m:e>
            <m:sub>
              <m:r>
                <m:t>i</m:t>
              </m:r>
            </m:sub>
          </m:sSub>
          <m:r>
            <m:rPr>
              <m:sty m:val="p"/>
            </m:rPr>
            <m:t>+</m:t>
          </m:r>
          <m:r>
            <m:t>Y</m:t>
          </m:r>
          <m:r>
            <m:t>e</m:t>
          </m:r>
          <m:r>
            <m:t>a</m:t>
          </m:r>
          <m:sSub>
            <m:e>
              <m:r>
                <m:t>r</m:t>
              </m:r>
            </m:e>
            <m:sub>
              <m:r>
                <m:t>2024</m:t>
              </m:r>
              <m:r>
                <m:rPr>
                  <m:sty m:val="p"/>
                </m:rPr>
                <m:t>,</m:t>
              </m:r>
              <m:r>
                <m:t>i</m:t>
              </m:r>
            </m:sub>
          </m:sSub>
          <m:r>
            <m:rPr>
              <m:sty m:val="p"/>
            </m:rPr>
            <m:t>+</m:t>
          </m:r>
          <m:sSub>
            <m:e>
              <m:r>
                <m:t>ε</m:t>
              </m:r>
            </m:e>
            <m:sub>
              <m:r>
                <m:t>i</m:t>
              </m:r>
            </m:sub>
          </m:sSub>
        </m:oMath>
      </m:oMathPara>
    </w:p>
    <w:bookmarkEnd w:id="45"/>
    <w:bookmarkStart w:id="46" w:name="m3-temporal-interaction-testing-h2-p5"/>
    <w:p>
      <w:pPr>
        <w:pStyle w:val="Heading3"/>
      </w:pPr>
      <w:r>
        <w:t xml:space="preserve">M3: Temporal interaction (testing H2-P5)</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d>
            <m:dPr>
              <m:begChr m:val="("/>
              <m:endChr m:val=")"/>
              <m:sepChr m:val=""/>
              <m:grow/>
            </m:dPr>
            <m:e>
              <m:r>
                <m:t>F</m:t>
              </m:r>
              <m:r>
                <m:t>S</m:t>
              </m:r>
              <m:r>
                <m:t>T</m:t>
              </m:r>
              <m:sSub>
                <m:e>
                  <m:r>
                    <m:t>S</m:t>
                  </m:r>
                </m:e>
                <m:sub>
                  <m:r>
                    <m:t>i</m:t>
                  </m:r>
                </m:sub>
              </m:sSub>
              <m:r>
                <m:rPr>
                  <m:sty m:val="p"/>
                </m:rPr>
                <m:t>×</m:t>
              </m:r>
              <m:r>
                <m:t>Y</m:t>
              </m:r>
              <m:r>
                <m:t>e</m:t>
              </m:r>
              <m:r>
                <m:t>a</m:t>
              </m:r>
              <m:sSub>
                <m:e>
                  <m:r>
                    <m:t>r</m:t>
                  </m:r>
                </m:e>
                <m:sub>
                  <m:r>
                    <m:t>2024</m:t>
                  </m:r>
                  <m:r>
                    <m:rPr>
                      <m:sty m:val="p"/>
                    </m:rPr>
                    <m:t>,</m:t>
                  </m:r>
                  <m:r>
                    <m:t>i</m:t>
                  </m:r>
                </m:sub>
              </m:sSub>
            </m:e>
          </m:d>
          <m:r>
            <m:rPr>
              <m:sty m:val="p"/>
            </m:rPr>
            <m:t>+</m:t>
          </m:r>
          <m:sSub>
            <m:e>
              <m:r>
                <m:t>β</m:t>
              </m:r>
            </m:e>
            <m:sub>
              <m:r>
                <m:t>4</m:t>
              </m:r>
            </m:sub>
          </m:sSub>
          <m:d>
            <m:dPr>
              <m:begChr m:val="("/>
              <m:endChr m:val=")"/>
              <m:sepChr m:val=""/>
              <m:grow/>
            </m:dPr>
            <m:e>
              <m:r>
                <m:t>F</m:t>
              </m:r>
              <m:r>
                <m:t>S</m:t>
              </m:r>
              <m:r>
                <m:t>T</m:t>
              </m:r>
              <m:sSubSup>
                <m:e>
                  <m:r>
                    <m:t>S</m:t>
                  </m:r>
                </m:e>
                <m:sub>
                  <m:r>
                    <m:t>i</m:t>
                  </m:r>
                </m:sub>
                <m:sup>
                  <m:r>
                    <m:t>2</m:t>
                  </m:r>
                </m:sup>
              </m:sSubSup>
              <m:r>
                <m:rPr>
                  <m:sty m:val="p"/>
                </m:rPr>
                <m:t>×</m:t>
              </m:r>
              <m:r>
                <m:t>Y</m:t>
              </m:r>
              <m:r>
                <m:t>e</m:t>
              </m:r>
              <m:r>
                <m:t>a</m:t>
              </m:r>
              <m:sSub>
                <m:e>
                  <m:r>
                    <m:t>r</m:t>
                  </m:r>
                </m:e>
                <m:sub>
                  <m:r>
                    <m:t>2024</m:t>
                  </m:r>
                  <m:r>
                    <m:rPr>
                      <m:sty m:val="p"/>
                    </m:rPr>
                    <m:t>,</m:t>
                  </m:r>
                  <m:r>
                    <m:t>i</m:t>
                  </m:r>
                </m:sub>
              </m:sSub>
            </m:e>
          </m:d>
          <m:r>
            <m:rPr>
              <m:sty m:val="p"/>
            </m:rPr>
            <m:t>+</m:t>
          </m:r>
          <m:r>
            <m:rPr>
              <m:sty m:val="b"/>
            </m:rPr>
            <m:t>γ</m:t>
          </m:r>
          <m:sSub>
            <m:e>
              <m:r>
                <m:rPr>
                  <m:sty m:val="b"/>
                </m:rPr>
                <m:t>X</m:t>
              </m:r>
            </m:e>
            <m:sub>
              <m:r>
                <m:t>i</m:t>
              </m:r>
            </m:sub>
          </m:sSub>
          <m:r>
            <m:rPr>
              <m:sty m:val="p"/>
            </m:rPr>
            <m:t>+</m:t>
          </m:r>
          <m:sSub>
            <m:e>
              <m:r>
                <m:t>ε</m:t>
              </m:r>
            </m:e>
            <m:sub>
              <m:r>
                <m:t>i</m:t>
              </m:r>
            </m:sub>
          </m:sSub>
        </m:oMath>
      </m:oMathPara>
    </w:p>
    <w:bookmarkEnd w:id="46"/>
    <w:bookmarkStart w:id="47" w:name="m4-tci-moderator-testing-h3-p5"/>
    <w:p>
      <w:pPr>
        <w:pStyle w:val="Heading3"/>
      </w:pPr>
      <w:r>
        <w:t xml:space="preserve">M4: TCI moderator (testing H3-P5)</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r>
            <m:t>T</m:t>
          </m:r>
          <m:r>
            <m:t>C</m:t>
          </m:r>
          <m:sSub>
            <m:e>
              <m:r>
                <m:t>I</m:t>
              </m:r>
            </m:e>
            <m:sub>
              <m:r>
                <m:t>i</m:t>
              </m:r>
            </m:sub>
          </m:sSub>
          <m:r>
            <m:rPr>
              <m:sty m:val="p"/>
            </m:rPr>
            <m:t>+</m:t>
          </m:r>
          <m:sSub>
            <m:e>
              <m:r>
                <m:t>β</m:t>
              </m:r>
            </m:e>
            <m:sub>
              <m:r>
                <m:t>4</m:t>
              </m:r>
            </m:sub>
          </m:sSub>
          <m:d>
            <m:dPr>
              <m:begChr m:val="("/>
              <m:endChr m:val=")"/>
              <m:sepChr m:val=""/>
              <m:grow/>
            </m:dPr>
            <m:e>
              <m:r>
                <m:t>F</m:t>
              </m:r>
              <m:r>
                <m:t>S</m:t>
              </m:r>
              <m:r>
                <m:t>T</m:t>
              </m:r>
              <m:sSub>
                <m:e>
                  <m:r>
                    <m:t>S</m:t>
                  </m:r>
                </m:e>
                <m:sub>
                  <m:r>
                    <m:t>i</m:t>
                  </m:r>
                </m:sub>
              </m:sSub>
              <m:r>
                <m:rPr>
                  <m:sty m:val="p"/>
                </m:rPr>
                <m:t>×</m:t>
              </m:r>
              <m:r>
                <m:t>T</m:t>
              </m:r>
              <m:r>
                <m:t>C</m:t>
              </m:r>
              <m:sSub>
                <m:e>
                  <m:r>
                    <m:t>I</m:t>
                  </m:r>
                </m:e>
                <m:sub>
                  <m:r>
                    <m:t>i</m:t>
                  </m:r>
                </m:sub>
              </m:sSub>
            </m:e>
          </m:d>
          <m:r>
            <m:rPr>
              <m:sty m:val="p"/>
            </m:rPr>
            <m:t>+</m:t>
          </m:r>
          <m:r>
            <m:rPr>
              <m:sty m:val="b"/>
            </m:rPr>
            <m:t>γ</m:t>
          </m:r>
          <m:sSub>
            <m:e>
              <m:r>
                <m:rPr>
                  <m:sty m:val="b"/>
                </m:rPr>
                <m:t>X</m:t>
              </m:r>
            </m:e>
            <m:sub>
              <m:r>
                <m:t>i</m:t>
              </m:r>
            </m:sub>
          </m:sSub>
          <m:r>
            <m:rPr>
              <m:sty m:val="p"/>
            </m:rPr>
            <m:t>+</m:t>
          </m:r>
          <m:sSub>
            <m:e>
              <m:r>
                <m:t>ε</m:t>
              </m:r>
            </m:e>
            <m:sub>
              <m:r>
                <m:t>i</m:t>
              </m:r>
            </m:sub>
          </m:sSub>
        </m:oMath>
      </m:oMathPara>
    </w:p>
    <w:bookmarkEnd w:id="47"/>
    <w:bookmarkStart w:id="48" w:name="m5-dai-moderator-testing-h4-p5"/>
    <w:p>
      <w:pPr>
        <w:pStyle w:val="Heading3"/>
      </w:pPr>
      <w:r>
        <w:t xml:space="preserve">M5: DAI moderator (testing H4-P5)</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r>
            <m:t>D</m:t>
          </m:r>
          <m:r>
            <m:t>A</m:t>
          </m:r>
          <m:sSub>
            <m:e>
              <m:r>
                <m:t>I</m:t>
              </m:r>
            </m:e>
            <m:sub>
              <m:r>
                <m:t>i</m:t>
              </m:r>
            </m:sub>
          </m:sSub>
          <m:r>
            <m:rPr>
              <m:sty m:val="p"/>
            </m:rPr>
            <m:t>+</m:t>
          </m:r>
          <m:sSub>
            <m:e>
              <m:r>
                <m:t>β</m:t>
              </m:r>
            </m:e>
            <m:sub>
              <m:r>
                <m:t>4</m:t>
              </m:r>
            </m:sub>
          </m:sSub>
          <m:d>
            <m:dPr>
              <m:begChr m:val="("/>
              <m:endChr m:val=")"/>
              <m:sepChr m:val=""/>
              <m:grow/>
            </m:dPr>
            <m:e>
              <m:r>
                <m:t>F</m:t>
              </m:r>
              <m:r>
                <m:t>S</m:t>
              </m:r>
              <m:r>
                <m:t>T</m:t>
              </m:r>
              <m:sSub>
                <m:e>
                  <m:r>
                    <m:t>S</m:t>
                  </m:r>
                </m:e>
                <m:sub>
                  <m:r>
                    <m:t>i</m:t>
                  </m:r>
                </m:sub>
              </m:sSub>
              <m:r>
                <m:rPr>
                  <m:sty m:val="p"/>
                </m:rPr>
                <m:t>×</m:t>
              </m:r>
              <m:r>
                <m:t>D</m:t>
              </m:r>
              <m:r>
                <m:t>A</m:t>
              </m:r>
              <m:sSub>
                <m:e>
                  <m:r>
                    <m:t>I</m:t>
                  </m:r>
                </m:e>
                <m:sub>
                  <m:r>
                    <m:t>i</m:t>
                  </m:r>
                </m:sub>
              </m:sSub>
            </m:e>
          </m:d>
          <m:r>
            <m:rPr>
              <m:sty m:val="p"/>
            </m:rPr>
            <m:t>+</m:t>
          </m:r>
          <m:sSub>
            <m:e>
              <m:r>
                <m:t>β</m:t>
              </m:r>
            </m:e>
            <m:sub>
              <m:r>
                <m:t>5</m:t>
              </m:r>
            </m:sub>
          </m:sSub>
          <m:d>
            <m:dPr>
              <m:begChr m:val="("/>
              <m:endChr m:val=")"/>
              <m:sepChr m:val=""/>
              <m:grow/>
            </m:dPr>
            <m:e>
              <m:r>
                <m:t>F</m:t>
              </m:r>
              <m:r>
                <m:t>S</m:t>
              </m:r>
              <m:r>
                <m:t>T</m:t>
              </m:r>
              <m:sSubSup>
                <m:e>
                  <m:r>
                    <m:t>S</m:t>
                  </m:r>
                </m:e>
                <m:sub>
                  <m:r>
                    <m:t>i</m:t>
                  </m:r>
                </m:sub>
                <m:sup>
                  <m:r>
                    <m:t>2</m:t>
                  </m:r>
                </m:sup>
              </m:sSubSup>
              <m:r>
                <m:rPr>
                  <m:sty m:val="p"/>
                </m:rPr>
                <m:t>×</m:t>
              </m:r>
              <m:r>
                <m:t>D</m:t>
              </m:r>
              <m:r>
                <m:t>A</m:t>
              </m:r>
              <m:sSub>
                <m:e>
                  <m:r>
                    <m:t>I</m:t>
                  </m:r>
                </m:e>
                <m:sub>
                  <m:r>
                    <m:t>i</m:t>
                  </m:r>
                </m:sub>
              </m:sSub>
            </m:e>
          </m:d>
          <m:r>
            <m:rPr>
              <m:sty m:val="p"/>
            </m:rPr>
            <m:t>+</m:t>
          </m:r>
          <m:r>
            <m:rPr>
              <m:sty m:val="b"/>
            </m:rPr>
            <m:t>γ</m:t>
          </m:r>
          <m:sSub>
            <m:e>
              <m:r>
                <m:rPr>
                  <m:sty m:val="b"/>
                </m:rPr>
                <m:t>X</m:t>
              </m:r>
            </m:e>
            <m:sub>
              <m:r>
                <m:t>i</m:t>
              </m:r>
            </m:sub>
          </m:sSub>
          <m:r>
            <m:rPr>
              <m:sty m:val="p"/>
            </m:rPr>
            <m:t>+</m:t>
          </m:r>
          <m:sSub>
            <m:e>
              <m:r>
                <m:t>ε</m:t>
              </m:r>
            </m:e>
            <m:sub>
              <m:r>
                <m:t>i</m:t>
              </m:r>
            </m:sub>
          </m:sSub>
        </m:oMath>
      </m:oMathPara>
    </w:p>
    <w:bookmarkEnd w:id="48"/>
    <w:bookmarkStart w:id="49" w:name="m6-three-way-testing-h5-p5"/>
    <w:p>
      <w:pPr>
        <w:pStyle w:val="Heading3"/>
      </w:pPr>
      <w:r>
        <w:t xml:space="preserve">M6: Three-way (testing H5-P5)</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r>
            <m:t>D</m:t>
          </m:r>
          <m:r>
            <m:t>A</m:t>
          </m:r>
          <m:sSub>
            <m:e>
              <m:r>
                <m:t>I</m:t>
              </m:r>
            </m:e>
            <m:sub>
              <m:r>
                <m:t>i</m:t>
              </m:r>
            </m:sub>
          </m:sSub>
          <m:r>
            <m:rPr>
              <m:sty m:val="p"/>
            </m:rPr>
            <m:t>+</m:t>
          </m:r>
          <m:sSub>
            <m:e>
              <m:r>
                <m:t>β</m:t>
              </m:r>
            </m:e>
            <m:sub>
              <m:r>
                <m:t>4</m:t>
              </m:r>
            </m:sub>
          </m:sSub>
          <m:r>
            <m:t>Y</m:t>
          </m:r>
          <m:r>
            <m:t>e</m:t>
          </m:r>
          <m:r>
            <m:t>a</m:t>
          </m:r>
          <m:sSub>
            <m:e>
              <m:r>
                <m:t>r</m:t>
              </m:r>
            </m:e>
            <m:sub>
              <m:r>
                <m:t>2024</m:t>
              </m:r>
              <m:r>
                <m:rPr>
                  <m:sty m:val="p"/>
                </m:rPr>
                <m:t>,</m:t>
              </m:r>
              <m:r>
                <m:t>i</m:t>
              </m:r>
            </m:sub>
          </m:sSub>
          <m:r>
            <m:rPr>
              <m:sty m:val="p"/>
            </m:rPr>
            <m:t>+</m:t>
          </m:r>
          <m:sSub>
            <m:e>
              <m:r>
                <m:t>β</m:t>
              </m:r>
            </m:e>
            <m:sub>
              <m:r>
                <m:t>5</m:t>
              </m:r>
            </m:sub>
          </m:sSub>
          <m:d>
            <m:dPr>
              <m:begChr m:val="("/>
              <m:endChr m:val=")"/>
              <m:sepChr m:val=""/>
              <m:grow/>
            </m:dPr>
            <m:e>
              <m:r>
                <m:t>F</m:t>
              </m:r>
              <m:r>
                <m:t>S</m:t>
              </m:r>
              <m:r>
                <m:t>T</m:t>
              </m:r>
              <m:sSub>
                <m:e>
                  <m:r>
                    <m:t>S</m:t>
                  </m:r>
                </m:e>
                <m:sub>
                  <m:r>
                    <m:t>i</m:t>
                  </m:r>
                </m:sub>
              </m:sSub>
              <m:r>
                <m:rPr>
                  <m:sty m:val="p"/>
                </m:rPr>
                <m:t>×</m:t>
              </m:r>
              <m:r>
                <m:t>D</m:t>
              </m:r>
              <m:r>
                <m:t>A</m:t>
              </m:r>
              <m:sSub>
                <m:e>
                  <m:r>
                    <m:t>I</m:t>
                  </m:r>
                </m:e>
                <m:sub>
                  <m:r>
                    <m:t>i</m:t>
                  </m:r>
                </m:sub>
              </m:sSub>
            </m:e>
          </m:d>
          <m:r>
            <m:rPr>
              <m:sty m:val="p"/>
            </m:rPr>
            <m:t>+</m:t>
          </m:r>
          <m:sSub>
            <m:e>
              <m:r>
                <m:t>β</m:t>
              </m:r>
            </m:e>
            <m:sub>
              <m:r>
                <m:t>6</m:t>
              </m:r>
            </m:sub>
          </m:sSub>
          <m:d>
            <m:dPr>
              <m:begChr m:val="("/>
              <m:endChr m:val=")"/>
              <m:sepChr m:val=""/>
              <m:grow/>
            </m:dPr>
            <m:e>
              <m:r>
                <m:t>F</m:t>
              </m:r>
              <m:r>
                <m:t>S</m:t>
              </m:r>
              <m:r>
                <m:t>T</m:t>
              </m:r>
              <m:sSub>
                <m:e>
                  <m:r>
                    <m:t>S</m:t>
                  </m:r>
                </m:e>
                <m:sub>
                  <m:r>
                    <m:t>i</m:t>
                  </m:r>
                </m:sub>
              </m:sSub>
              <m:r>
                <m:rPr>
                  <m:sty m:val="p"/>
                </m:rPr>
                <m:t>×</m:t>
              </m:r>
              <m:r>
                <m:t>Y</m:t>
              </m:r>
              <m:r>
                <m:t>e</m:t>
              </m:r>
              <m:r>
                <m:t>a</m:t>
              </m:r>
              <m:sSub>
                <m:e>
                  <m:r>
                    <m:t>r</m:t>
                  </m:r>
                </m:e>
                <m:sub>
                  <m:r>
                    <m:t>2024</m:t>
                  </m:r>
                  <m:r>
                    <m:rPr>
                      <m:sty m:val="p"/>
                    </m:rPr>
                    <m:t>,</m:t>
                  </m:r>
                  <m:r>
                    <m:t>i</m:t>
                  </m:r>
                </m:sub>
              </m:sSub>
            </m:e>
          </m:d>
          <m:r>
            <m:rPr>
              <m:sty m:val="p"/>
            </m:rPr>
            <m:t>+</m:t>
          </m:r>
          <m:sSub>
            <m:e>
              <m:r>
                <m:t>β</m:t>
              </m:r>
            </m:e>
            <m:sub>
              <m:r>
                <m:t>7</m:t>
              </m:r>
            </m:sub>
          </m:sSub>
          <m:d>
            <m:dPr>
              <m:begChr m:val="("/>
              <m:endChr m:val=")"/>
              <m:sepChr m:val=""/>
              <m:grow/>
            </m:dPr>
            <m:e>
              <m:r>
                <m:t>F</m:t>
              </m:r>
              <m:r>
                <m:t>S</m:t>
              </m:r>
              <m:r>
                <m:t>T</m:t>
              </m:r>
              <m:sSub>
                <m:e>
                  <m:r>
                    <m:t>S</m:t>
                  </m:r>
                </m:e>
                <m:sub>
                  <m:r>
                    <m:t>i</m:t>
                  </m:r>
                </m:sub>
              </m:sSub>
              <m:r>
                <m:rPr>
                  <m:sty m:val="p"/>
                </m:rPr>
                <m:t>×</m:t>
              </m:r>
              <m:r>
                <m:t>D</m:t>
              </m:r>
              <m:r>
                <m:t>A</m:t>
              </m:r>
              <m:sSub>
                <m:e>
                  <m:r>
                    <m:t>I</m:t>
                  </m:r>
                </m:e>
                <m:sub>
                  <m:r>
                    <m:t>i</m:t>
                  </m:r>
                </m:sub>
              </m:sSub>
              <m:r>
                <m:rPr>
                  <m:sty m:val="p"/>
                </m:rPr>
                <m:t>×</m:t>
              </m:r>
              <m:r>
                <m:t>Y</m:t>
              </m:r>
              <m:r>
                <m:t>e</m:t>
              </m:r>
              <m:r>
                <m:t>a</m:t>
              </m:r>
              <m:sSub>
                <m:e>
                  <m:r>
                    <m:t>r</m:t>
                  </m:r>
                </m:e>
                <m:sub>
                  <m:r>
                    <m:t>2024</m:t>
                  </m:r>
                  <m:r>
                    <m:rPr>
                      <m:sty m:val="p"/>
                    </m:rPr>
                    <m:t>,</m:t>
                  </m:r>
                  <m:r>
                    <m:t>i</m:t>
                  </m:r>
                </m:sub>
              </m:sSub>
            </m:e>
          </m:d>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Tất cả mô hình dùng HC1 robust SE (Long &amp; Ervin, 2000; White, 1980).</w:t>
      </w:r>
    </w:p>
    <w:bookmarkEnd w:id="49"/>
    <w:bookmarkEnd w:id="50"/>
    <w:bookmarkStart w:id="59" w:name="lộ-trình-rà-soát-và-chạy-model"/>
    <w:p>
      <w:pPr>
        <w:pStyle w:val="Heading2"/>
      </w:pPr>
      <w:r>
        <w:t xml:space="preserve">8. Lộ trình rà soát và chạy model</w:t>
      </w:r>
    </w:p>
    <w:bookmarkStart w:id="51" w:name="bước-1-rà-soát-literature-12-tuần"/>
    <w:p>
      <w:pPr>
        <w:pStyle w:val="Heading3"/>
      </w:pPr>
      <w:r>
        <w:t xml:space="preserve">Bước 1: Rà soát literature (1–2 tuần)</w:t>
      </w:r>
    </w:p>
    <w:p>
      <w:pPr>
        <w:pStyle w:val="FirstParagraph"/>
      </w:pPr>
      <w:r>
        <w:t xml:space="preserve">Tập trung 4 nhóm bài: (i) China-specific I–P; (ii) nonlinearity in IB; (iii) digital capabilities; (iv) temporal evolution. Kiểm soát các bài 2023–2025 để đảm bảo tính cập nhật.</w:t>
      </w:r>
    </w:p>
    <w:bookmarkEnd w:id="51"/>
    <w:bookmarkStart w:id="52" w:name="Xb9e186509e278246c98e84af8c0d307a03b4a08"/>
    <w:p>
      <w:pPr>
        <w:pStyle w:val="Heading3"/>
      </w:pPr>
      <w:r>
        <w:t xml:space="preserve">Bước 2: Concept-to-variable mapping (1 tuần)</w:t>
      </w:r>
    </w:p>
    <w:p>
      <w:pPr>
        <w:pStyle w:val="FirstParagraph"/>
      </w:pPr>
      <w:r>
        <w:t xml:space="preserve">Lập bảng đối chiếu: khái niệm → biến WBES → công thức → kỳ vọng dấu → nguồn.</w:t>
      </w:r>
    </w:p>
    <w:bookmarkEnd w:id="52"/>
    <w:bookmarkStart w:id="53" w:name="bước-3-descriptive-analysis-35-ngày"/>
    <w:p>
      <w:pPr>
        <w:pStyle w:val="Heading3"/>
      </w:pPr>
      <w:r>
        <w:t xml:space="preserve">Bước 3: Descriptive analysis (3–5 ngày)</w:t>
      </w:r>
    </w:p>
    <w:p>
      <w:pPr>
        <w:numPr>
          <w:ilvl w:val="0"/>
          <w:numId w:val="1006"/>
        </w:numPr>
        <w:pStyle w:val="Compact"/>
      </w:pPr>
      <w:r>
        <w:t xml:space="preserve">Phân phối FSTS,</w:t>
      </w:r>
      <w:r>
        <w:t xml:space="preserve"> </w:t>
      </w:r>
      <m:oMath>
        <m:r>
          <m:rPr>
            <m:sty m:val="p"/>
          </m:rPr>
          <m:t>ln</m:t>
        </m:r>
      </m:oMath>
      <w:r>
        <w:t xml:space="preserve">(LP), TCI, DAI.</w:t>
      </w:r>
    </w:p>
    <w:p>
      <w:pPr>
        <w:numPr>
          <w:ilvl w:val="0"/>
          <w:numId w:val="1006"/>
        </w:numPr>
        <w:pStyle w:val="Compact"/>
      </w:pPr>
      <w:r>
        <w:t xml:space="preserve">Ma trận tương quan.</w:t>
      </w:r>
    </w:p>
    <w:p>
      <w:pPr>
        <w:numPr>
          <w:ilvl w:val="0"/>
          <w:numId w:val="1006"/>
        </w:numPr>
        <w:pStyle w:val="Compact"/>
      </w:pPr>
      <w:r>
        <w:t xml:space="preserve">Histogram, scatter plot FSTS vs</w:t>
      </w:r>
      <w:r>
        <w:t xml:space="preserve"> </w:t>
      </w:r>
      <m:oMath>
        <m:r>
          <m:rPr>
            <m:sty m:val="p"/>
          </m:rPr>
          <m:t>ln</m:t>
        </m:r>
      </m:oMath>
      <w:r>
        <w:t xml:space="preserve">(LP).</w:t>
      </w:r>
    </w:p>
    <w:p>
      <w:pPr>
        <w:numPr>
          <w:ilvl w:val="0"/>
          <w:numId w:val="1006"/>
        </w:numPr>
        <w:pStyle w:val="Compact"/>
      </w:pPr>
      <w:r>
        <w:t xml:space="preserve">VIF.</w:t>
      </w:r>
    </w:p>
    <w:bookmarkEnd w:id="53"/>
    <w:bookmarkStart w:id="54" w:name="bước-4-chạy-mô-hình-tuần-tự-m0m6-1-tuần"/>
    <w:p>
      <w:pPr>
        <w:pStyle w:val="Heading3"/>
      </w:pPr>
      <w:r>
        <w:t xml:space="preserve">Bước 4: Chạy mô hình tuần tự M0–M6 (1 tuần)</w:t>
      </w:r>
    </w:p>
    <w:p>
      <w:pPr>
        <w:numPr>
          <w:ilvl w:val="0"/>
          <w:numId w:val="1007"/>
        </w:numPr>
        <w:pStyle w:val="Compact"/>
      </w:pPr>
      <w:r>
        <w:t xml:space="preserve">Soát từng mô hình.</w:t>
      </w:r>
    </w:p>
    <w:p>
      <w:pPr>
        <w:numPr>
          <w:ilvl w:val="0"/>
          <w:numId w:val="1007"/>
        </w:numPr>
        <w:pStyle w:val="Compact"/>
      </w:pPr>
      <w:r>
        <w:t xml:space="preserve">So sánh AIC/BIC.</w:t>
      </w:r>
    </w:p>
    <w:p>
      <w:pPr>
        <w:numPr>
          <w:ilvl w:val="0"/>
          <w:numId w:val="1007"/>
        </w:numPr>
        <w:pStyle w:val="Compact"/>
      </w:pPr>
      <w:r>
        <w:t xml:space="preserve">Vẽ margins plot cho M2 và M3.</w:t>
      </w:r>
    </w:p>
    <w:bookmarkEnd w:id="54"/>
    <w:bookmarkStart w:id="55" w:name="bước-5-lindmehlum-u-test-3-ngày"/>
    <w:p>
      <w:pPr>
        <w:pStyle w:val="Heading3"/>
      </w:pPr>
      <w:r>
        <w:t xml:space="preserve">Bước 5: Lind–Mehlum U-test (3 ngày)</w:t>
      </w:r>
    </w:p>
    <w:p>
      <w:pPr>
        <w:pStyle w:val="FirstParagraph"/>
      </w:pPr>
      <w:r>
        <w:t xml:space="preserve">Xác nhận inverted-U ở từng wave (Lind &amp; Mehlum, 2010).</w:t>
      </w:r>
    </w:p>
    <w:bookmarkEnd w:id="55"/>
    <w:bookmarkStart w:id="56" w:name="bước-6-robustness-12-tuần"/>
    <w:p>
      <w:pPr>
        <w:pStyle w:val="Heading3"/>
      </w:pPr>
      <w:r>
        <w:t xml:space="preserve">Bước 6: Robustness (1–2 tuần)</w:t>
      </w:r>
    </w:p>
    <w:p>
      <w:pPr>
        <w:pStyle w:val="FirstParagraph"/>
      </w:pPr>
      <w:r>
        <w:t xml:space="preserve">Thay đổi thước đo, lọc micro firms, winsorization, subset chỉ manufacturing.</w:t>
      </w:r>
    </w:p>
    <w:bookmarkEnd w:id="56"/>
    <w:bookmarkStart w:id="57" w:name="bước-7-margins-plot-và-vẽ-biểu-đồ-3-ngày"/>
    <w:p>
      <w:pPr>
        <w:pStyle w:val="Heading3"/>
      </w:pPr>
      <w:r>
        <w:t xml:space="preserve">Bước 7: Margins plot và vẽ biểu đồ (3 ngày)</w:t>
      </w:r>
    </w:p>
    <w:p>
      <w:pPr>
        <w:pStyle w:val="FirstParagraph"/>
      </w:pPr>
      <w:r>
        <w:t xml:space="preserve">Minh họa turning point shift giữa 2012 và 2024.</w:t>
      </w:r>
    </w:p>
    <w:bookmarkEnd w:id="57"/>
    <w:bookmarkStart w:id="58" w:name="bước-8-viết-manuscript-46-tuần"/>
    <w:p>
      <w:pPr>
        <w:pStyle w:val="Heading3"/>
      </w:pPr>
      <w:r>
        <w:t xml:space="preserve">Bước 8: Viết manuscript (4–6 tuần)</w:t>
      </w:r>
    </w:p>
    <w:p>
      <w:pPr>
        <w:pStyle w:val="FirstParagraph"/>
      </w:pPr>
      <w:r>
        <w:t xml:space="preserve">Introduction (mạnh về differentiation từ P2), literature, hypotheses, method, results, discussion.</w:t>
      </w:r>
    </w:p>
    <w:bookmarkEnd w:id="58"/>
    <w:bookmarkEnd w:id="59"/>
    <w:bookmarkStart w:id="60" w:name="đóng-góp-kỳ-vọng"/>
    <w:p>
      <w:pPr>
        <w:pStyle w:val="Heading2"/>
      </w:pPr>
      <w:r>
        <w:t xml:space="preserve">9. Đóng góp kỳ vọng</w:t>
      </w:r>
    </w:p>
    <w:p>
      <w:pPr>
        <w:numPr>
          <w:ilvl w:val="0"/>
          <w:numId w:val="1008"/>
        </w:numPr>
        <w:pStyle w:val="Compact"/>
      </w:pPr>
      <w:r>
        <w:rPr>
          <w:bCs/>
          <w:b/>
        </w:rPr>
        <w:t xml:space="preserve">Tầng China stream</w:t>
      </w:r>
      <w:r>
        <w:t xml:space="preserve">: chuyển nhánh China của luận án từ static nonlinear sang dynamic nonlinear.</w:t>
      </w:r>
    </w:p>
    <w:p>
      <w:pPr>
        <w:numPr>
          <w:ilvl w:val="0"/>
          <w:numId w:val="1008"/>
        </w:numPr>
        <w:pStyle w:val="Compact"/>
      </w:pPr>
      <w:r>
        <w:rPr>
          <w:bCs/>
          <w:b/>
        </w:rPr>
        <w:t xml:space="preserve">Tầng luận án tổng thể</w:t>
      </w:r>
      <w:r>
        <w:t xml:space="preserve">: cung cấp bằng chứng cho temporal heterogeneity (H6).</w:t>
      </w:r>
    </w:p>
    <w:p>
      <w:pPr>
        <w:numPr>
          <w:ilvl w:val="0"/>
          <w:numId w:val="1008"/>
        </w:numPr>
        <w:pStyle w:val="Compact"/>
      </w:pPr>
      <w:r>
        <w:rPr>
          <w:bCs/>
          <w:b/>
        </w:rPr>
        <w:t xml:space="preserve">Tầng literature</w:t>
      </w:r>
      <w:r>
        <w:t xml:space="preserve">: bổ sung evidence cho tranh luận về tính động của I–P relationship trong emerging markets.</w:t>
      </w:r>
    </w:p>
    <w:bookmarkEnd w:id="60"/>
    <w:bookmarkStart w:id="61" w:name="risks-và-mitigation"/>
    <w:p>
      <w:pPr>
        <w:pStyle w:val="Heading2"/>
      </w:pPr>
      <w:r>
        <w:t xml:space="preserve">10. Risks và mitigation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Repeated cross-sections không phải panel → khó suy luận nhân quả</w:t>
            </w:r>
          </w:p>
        </w:tc>
        <w:tc>
          <w:tcPr/>
          <w:p>
            <w:pPr>
              <w:pStyle w:val="Compact"/>
              <w:jc w:val="left"/>
            </w:pPr>
            <w:r>
              <w:t xml:space="preserve">Khẳng định rõ trong limitations; gắn nó như evidence về trend-level chứ không phải firm-level causation</w:t>
            </w:r>
          </w:p>
        </w:tc>
      </w:tr>
      <w:tr>
        <w:tc>
          <w:tcPr/>
          <w:p>
            <w:pPr>
              <w:pStyle w:val="Compact"/>
              <w:jc w:val="left"/>
            </w:pPr>
            <w:r>
              <w:t xml:space="preserve">2012 và 2024 có thể khác về sample composition</w:t>
            </w:r>
          </w:p>
        </w:tc>
        <w:tc>
          <w:tcPr/>
          <w:p>
            <w:pPr>
              <w:pStyle w:val="Compact"/>
              <w:jc w:val="left"/>
            </w:pPr>
            <w:r>
              <w:t xml:space="preserve">So sánh sample profile, báo cáo chi tiết trong methodology</w:t>
            </w:r>
          </w:p>
        </w:tc>
      </w:tr>
      <w:tr>
        <w:tc>
          <w:tcPr/>
          <w:p>
            <w:pPr>
              <w:pStyle w:val="Compact"/>
              <w:jc w:val="left"/>
            </w:pPr>
            <w:r>
              <w:t xml:space="preserve">TCI và DAI thiếu công cụ đo trong 2012 vs 2024</w:t>
            </w:r>
          </w:p>
        </w:tc>
        <w:tc>
          <w:tcPr/>
          <w:p>
            <w:pPr>
              <w:pStyle w:val="Compact"/>
              <w:jc w:val="left"/>
            </w:pPr>
            <w:r>
              <w:t xml:space="preserve">Lựa chọn items chung giữa hai wave; bất kỳ differences phải được minh bạch</w:t>
            </w:r>
          </w:p>
        </w:tc>
      </w:tr>
      <w:tr>
        <w:tc>
          <w:tcPr/>
          <w:p>
            <w:pPr>
              <w:pStyle w:val="Compact"/>
              <w:jc w:val="left"/>
            </w:pPr>
            <w:r>
              <w:t xml:space="preserve">Phân biệt với P2 chưa đủ thuyết phục</w:t>
            </w:r>
          </w:p>
        </w:tc>
        <w:tc>
          <w:tcPr/>
          <w:p>
            <w:pPr>
              <w:pStyle w:val="Compact"/>
              <w:jc w:val="left"/>
            </w:pPr>
            <w:r>
              <w:t xml:space="preserve">Viết hẳn một section rõ ràng</w:t>
            </w:r>
            <w:r>
              <w:t xml:space="preserve"> </w:t>
            </w:r>
            <w:r>
              <w:t xml:space="preserve">“</w:t>
            </w:r>
            <w:r>
              <w:t xml:space="preserve">Differentiation from Do &amp; Phan (2026)</w:t>
            </w:r>
            <w:r>
              <w:t xml:space="preserve">”</w:t>
            </w:r>
          </w:p>
        </w:tc>
      </w:tr>
      <w:tr>
        <w:tc>
          <w:tcPr/>
          <w:p>
            <w:pPr>
              <w:pStyle w:val="Compact"/>
              <w:jc w:val="left"/>
            </w:pPr>
            <w:r>
              <w:t xml:space="preserve">H5-P5 không sống sót Bonferroni</w:t>
            </w:r>
          </w:p>
        </w:tc>
        <w:tc>
          <w:tcPr/>
          <w:p>
            <w:pPr>
              <w:pStyle w:val="Compact"/>
              <w:jc w:val="left"/>
            </w:pPr>
            <w:r>
              <w:t xml:space="preserve">Reframe trong manuscript thành phát hiện</w:t>
            </w:r>
            <w:r>
              <w:t xml:space="preserve"> </w:t>
            </w:r>
            <w:r>
              <w:t xml:space="preserve">“</w:t>
            </w:r>
            <w:r>
              <w:t xml:space="preserve">structurally stable I-P relationship</w:t>
            </w:r>
            <w:r>
              <w:t xml:space="preserve">”</w:t>
            </w:r>
            <w:r>
              <w:t xml:space="preserve"> </w:t>
            </w:r>
            <w:r>
              <w:t xml:space="preserve">(positive theoretical signal) thay vì spin marginal F = 3.26 thành significant; chỉ rõ pre-registered α* = 0.017 đã không đạt</w:t>
            </w:r>
          </w:p>
        </w:tc>
      </w:tr>
      <w:tr>
        <w:tc>
          <w:tcPr/>
          <w:p>
            <w:pPr>
              <w:pStyle w:val="Compact"/>
              <w:jc w:val="left"/>
            </w:pPr>
            <w:r>
              <w:t xml:space="preserve">217 firms repeat between 2012 và 2024 waves (overlapping cohort)</w:t>
            </w:r>
          </w:p>
        </w:tc>
        <w:tc>
          <w:tcPr/>
          <w:p>
            <w:pPr>
              <w:pStyle w:val="Compact"/>
              <w:jc w:val="left"/>
            </w:pPr>
            <w:r>
              <w:t xml:space="preserve">Standard errors cluster theo</w:t>
            </w:r>
            <w:r>
              <w:t xml:space="preserve"> </w:t>
            </w:r>
            <w:r>
              <w:rPr>
                <w:rStyle w:val="VerbatimChar"/>
              </w:rPr>
              <w:t xml:space="preserve">idstd</w:t>
            </w:r>
            <w:r>
              <w:t xml:space="preserve"> </w:t>
            </w:r>
            <w:r>
              <w:t xml:space="preserve">đã áp dụng để xử lý correlation trong nhóm lõi; báo cáo minh bạch trong methodology</w:t>
            </w:r>
          </w:p>
        </w:tc>
      </w:tr>
      <w:tr>
        <w:tc>
          <w:tcPr/>
          <w:p>
            <w:pPr>
              <w:pStyle w:val="Compact"/>
              <w:jc w:val="left"/>
            </w:pPr>
            <w:r>
              <w:t xml:space="preserve">Three-way interactions có khả năng underpowered</w:t>
            </w:r>
          </w:p>
        </w:tc>
        <w:tc>
          <w:tcPr/>
          <w:p>
            <w:pPr>
              <w:pStyle w:val="Compact"/>
              <w:jc w:val="left"/>
            </w:pPr>
            <w:r>
              <w:t xml:space="preserve">Tính power ex-ante cho F-tests theo Leon (2004) trước khi commit interpretation; báo cáo</w:t>
            </w:r>
          </w:p>
        </w:tc>
      </w:tr>
    </w:tbl>
    <w:bookmarkEnd w:id="61"/>
    <w:bookmarkStart w:id="62" w:name="tóm-tắt"/>
    <w:p>
      <w:pPr>
        <w:pStyle w:val="Heading2"/>
      </w:pPr>
      <w:r>
        <w:t xml:space="preserve">11. Tóm tắt</w:t>
      </w:r>
    </w:p>
    <w:p>
      <w:pPr>
        <w:pStyle w:val="FirstParagraph"/>
      </w:pPr>
      <w:r>
        <w:t xml:space="preserve">P5 được thiết kế như bước phát triển tự P2: từ</w:t>
      </w:r>
      <w:r>
        <w:t xml:space="preserve"> </w:t>
      </w:r>
      <w:r>
        <w:t xml:space="preserve">“</w:t>
      </w:r>
      <w:r>
        <w:t xml:space="preserve">shape</w:t>
      </w:r>
      <w:r>
        <w:t xml:space="preserve">”</w:t>
      </w:r>
      <w:r>
        <w:t xml:space="preserve"> </w:t>
      </w:r>
      <w:r>
        <w:t xml:space="preserve">sang</w:t>
      </w:r>
      <w:r>
        <w:t xml:space="preserve"> </w:t>
      </w:r>
      <w:r>
        <w:t xml:space="preserve">“</w:t>
      </w:r>
      <w:r>
        <w:t xml:space="preserve">shape over time</w:t>
      </w:r>
      <w:r>
        <w:t xml:space="preserve">”</w:t>
      </w:r>
      <w:r>
        <w:t xml:space="preserve">. Bối cảnh China giai đoạn 2012–2024 cho phép kiểm định sự ổn định của inverted-U cùng với sự dịch chuyển của turning point dưới tác động của digital capability.</w:t>
      </w:r>
    </w:p>
    <w:bookmarkEnd w:id="62"/>
    <w:bookmarkStart w:id="63" w:name="Xd2bcce4f93f06f4d0cd366d6052f83016eae621"/>
    <w:p>
      <w:pPr>
        <w:pStyle w:val="Heading2"/>
      </w:pPr>
      <w:r>
        <w:t xml:space="preserve">Tham khảo (chứ chưa liệt kê hết — xem</w:t>
      </w:r>
      <w:r>
        <w:t xml:space="preserve"> </w:t>
      </w:r>
      <w:r>
        <w:rPr>
          <w:rStyle w:val="VerbatimChar"/>
        </w:rPr>
        <w:t xml:space="preserve">04_references_apa7.md</w:t>
      </w:r>
      <w:r>
        <w:t xml:space="preserve">)</w:t>
      </w:r>
    </w:p>
    <w:p>
      <w:pPr>
        <w:pStyle w:val="FirstParagraph"/>
      </w:pPr>
      <w:r>
        <w:t xml:space="preserve">Bhandari, K. R., Zámborský, P., Ranta, M., &amp; Salo, J. (2023). Digitalization, internationalization, and firm performance.</w:t>
      </w:r>
      <w:r>
        <w:t xml:space="preserve"> </w:t>
      </w:r>
      <w:r>
        <w:rPr>
          <w:iCs/>
          <w:i/>
        </w:rPr>
        <w:t xml:space="preserve">International Business Review, 32</w:t>
      </w:r>
      <w:r>
        <w:t xml:space="preserve">(4), 102027.</w:t>
      </w:r>
    </w:p>
    <w:p>
      <w:pPr>
        <w:pStyle w:val="BodyText"/>
      </w:pPr>
      <w:r>
        <w:t xml:space="preserve">Chen, S., &amp; Tan, H. (2012). Region effects in the internationalization–performance relationship in Chinese firms.</w:t>
      </w:r>
      <w:r>
        <w:t xml:space="preserve"> </w:t>
      </w:r>
      <w:r>
        <w:rPr>
          <w:iCs/>
          <w:i/>
        </w:rPr>
        <w:t xml:space="preserve">Journal of World Business, 47</w:t>
      </w:r>
      <w:r>
        <w:t xml:space="preserve">(1), 73–80.</w:t>
      </w:r>
    </w:p>
    <w:p>
      <w:pPr>
        <w:pStyle w:val="BodyText"/>
      </w:pPr>
      <w:r>
        <w:t xml:space="preserve">Feng, D., Chen, Q., Song, M., &amp; Cui, L. (2019). Relationship between the degree of internationalization and performance in manufacturing enterprises of the Yangtze River Delta region.</w:t>
      </w:r>
      <w:r>
        <w:t xml:space="preserve"> </w:t>
      </w:r>
      <w:r>
        <w:rPr>
          <w:iCs/>
          <w:i/>
        </w:rPr>
        <w:t xml:space="preserve">Emerging Markets Finance and Trade, 55</w:t>
      </w:r>
      <w:r>
        <w:t xml:space="preserve">(7), 1455–1471.</w:t>
      </w:r>
    </w:p>
    <w:p>
      <w:pPr>
        <w:pStyle w:val="BodyText"/>
      </w:pPr>
      <w:r>
        <w:t xml:space="preserve">Li, W., Li, C., &amp; Wei, G. (2022). The dual mechanism of social networks on the relationship between internationalization and firm performance.</w:t>
      </w:r>
      <w:r>
        <w:t xml:space="preserve"> </w:t>
      </w:r>
      <w:r>
        <w:rPr>
          <w:iCs/>
          <w:i/>
        </w:rPr>
        <w:t xml:space="preserve">PLOS ONE, 17</w:t>
      </w:r>
      <w:r>
        <w:t xml:space="preserve">(11), e0277421.</w:t>
      </w:r>
    </w:p>
    <w:p>
      <w:pPr>
        <w:pStyle w:val="BodyText"/>
      </w:pPr>
      <w:r>
        <w:t xml:space="preserve">Lind, J. T., &amp; Mehlum, H. (2010). With or without U?</w:t>
      </w:r>
      <w:r>
        <w:t xml:space="preserve"> </w:t>
      </w:r>
      <w:r>
        <w:rPr>
          <w:iCs/>
          <w:i/>
        </w:rPr>
        <w:t xml:space="preserve">Oxford Bulletin of Economics and Statistics, 72</w:t>
      </w:r>
      <w:r>
        <w:t xml:space="preserve">(1), 109–118.</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Wu, J., Fan, D., &amp; Chen, X. (2022). Revisiting the internationalization–performance relationship: A twenty-year meta-analysis of emerging market multinationals.</w:t>
      </w:r>
      <w:r>
        <w:t xml:space="preserve"> </w:t>
      </w:r>
      <w:r>
        <w:rPr>
          <w:iCs/>
          <w:i/>
        </w:rPr>
        <w:t xml:space="preserve">Management International Review, 62</w:t>
      </w:r>
      <w:r>
        <w:t xml:space="preserve">(2), 199–231.</w:t>
      </w:r>
    </w:p>
    <w:p>
      <w:pPr>
        <w:pStyle w:val="BodyText"/>
      </w:pPr>
      <w:r>
        <w:t xml:space="preserve">Xiao, S. S., Jeong, I., Moon, J. J., Chung, C. C., &amp; Chung, J. (2013). Internationalization and performance of firms in China.</w:t>
      </w:r>
      <w:r>
        <w:t xml:space="preserve"> </w:t>
      </w:r>
      <w:r>
        <w:rPr>
          <w:iCs/>
          <w:i/>
        </w:rPr>
        <w:t xml:space="preserve">Journal of International Management, 19</w:t>
      </w:r>
      <w:r>
        <w:t xml:space="preserve">(2), 118–137.</w:t>
      </w:r>
    </w:p>
    <w:bookmarkEnd w:id="63"/>
    <w:bookmarkEnd w:id="64"/>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2026-05-30T16:03:10Z</dcterms:created>
  <dcterms:modified xsi:type="dcterms:W3CDTF">2026-05-30T16:03:10Z</dcterms:modified>
</cp:coreProperties>
</file>

<file path=docProps/custom.xml><?xml version="1.0" encoding="utf-8"?>
<Properties xmlns="http://schemas.openxmlformats.org/officeDocument/2006/custom-properties" xmlns:vt="http://schemas.openxmlformats.org/officeDocument/2006/docPropsVTypes"/>
</file>