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9.png" ContentType="image/png"/>
  <Override PartName="/word/media/rId52.png" ContentType="image/png"/>
  <Override PartName="/word/media/rId56.png" ContentType="image/png"/>
  <Override PartName="/word/media/rId72.png" ContentType="image/png"/>
  <Override PartName="/word/media/rId66.png" ContentType="image/png"/>
  <Override PartName="/word/media/rId7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pool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p>
    <w:p>
      <w:pPr>
        <w:numPr>
          <w:ilvl w:val="0"/>
          <w:numId w:val="1006"/>
        </w:numPr>
        <w:pStyle w:val="Compact"/>
      </w:pPr>
      <w:r>
        <w:rPr>
          <w:bCs/>
          <w:b/>
        </w:rPr>
        <w:t xml:space="preserve">(i) Advanced đổi mới sáng tạo dẫn dắt (6 nước)</w:t>
      </w:r>
      <w:r>
        <w:t xml:space="preserve">: Singapore, Hong Kong SAR, Hàn Quốc, Đài Loan, Israel, Nhật Bản.</w:t>
      </w:r>
    </w:p>
    <w:p>
      <w:pPr>
        <w:numPr>
          <w:ilvl w:val="0"/>
          <w:numId w:val="1006"/>
        </w:numPr>
        <w:pStyle w:val="Compact"/>
      </w:pPr>
      <w:r>
        <w:rPr>
          <w:bCs/>
          <w:b/>
        </w:rPr>
        <w:t xml:space="preserve">(ii) Advanced tài nguyên dẫn dắt (6 nước)</w:t>
      </w:r>
      <w:r>
        <w:t xml:space="preserve">: Saudi Arabia, Qatar, Kuwait, Bahrain, Brunei, Oman.</w:t>
      </w:r>
    </w:p>
    <w:p>
      <w:pPr>
        <w:numPr>
          <w:ilvl w:val="0"/>
          <w:numId w:val="1006"/>
        </w:numPr>
        <w:pStyle w:val="Compact"/>
      </w:pPr>
      <w:r>
        <w:rPr>
          <w:bCs/>
          <w:b/>
        </w:rPr>
        <w:t xml:space="preserve">(iii) Trung bình cao, Upper-middle (6 nước)</w:t>
      </w:r>
      <w:r>
        <w:t xml:space="preserve">: Trung Quốc, Malaysia, Thái Lan, Kazakhstan, Armenia, Georgia.</w:t>
      </w:r>
    </w:p>
    <w:p>
      <w:pPr>
        <w:numPr>
          <w:ilvl w:val="0"/>
          <w:numId w:val="1006"/>
        </w:numPr>
        <w:pStyle w:val="Compact"/>
      </w:pPr>
      <w:r>
        <w:rPr>
          <w:bCs/>
          <w:b/>
        </w:rPr>
        <w:t xml:space="preserve">(iv) Chuyển đổi TB–thấp, Lower_mid_transition (7 nước)</w:t>
      </w:r>
      <w:r>
        <w:t xml:space="preserve">: Việt Nam, Ấn Độ, Indonesia, Philippines, Mông Cổ, Bangladesh, Pakistan.</w:t>
      </w:r>
    </w:p>
    <w:p>
      <w:pPr>
        <w:numPr>
          <w:ilvl w:val="0"/>
          <w:numId w:val="1006"/>
        </w:numPr>
        <w:pStyle w:val="Compact"/>
      </w:pP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pStyle w:val="BodyText"/>
      </w:pPr>
      <w:r>
        <w:t xml:space="preserve">(4)</w:t>
      </w:r>
      <w:r>
        <w:t xml:space="preserve"> </w:t>
      </w: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50 nền kinh tế (88.869 doanh nghiệp, gồm Nhật Bản; pool phân loại 96.415 DN / 52 nền).</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7"/>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7"/>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pool, gồm Nhật Bản khảo sát lần đầu)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105" w:name="X342156ccfd2c7f5ced860191aa03b7b6d212c37"/>
    <w:p>
      <w:pPr>
        <w:pStyle w:val="Heading2"/>
      </w:pPr>
      <w:r>
        <w:t xml:space="preserve">2.3 NỘI DUNG NGHIÊN CỨU</w:t>
      </w:r>
    </w:p>
    <w:bookmarkStart w:id="43" w:name="X675ab5af00d74d00e27b461f47ed6d6446b9560"/>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z-score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BodyText"/>
      </w:pPr>
      <w:r>
        <w:drawing>
          <wp:inline>
            <wp:extent cx="5753100" cy="4005406"/>
            <wp:effectExtent b="0" l="0" r="0" t="0"/>
            <wp:docPr descr="Hình 2.3.1.1. Khung phân tích mô tả CĐ1 — tương quan giữa bốn yếu tố và năng suất lao động theo bối cảnh thể chế ICRV (pool mô tả 88.869 doanh nghiệp, 50 nền, 2006–2026)." title="" id="35" name="Picture"/>
            <a:graphic>
              <a:graphicData uri="http://schemas.openxmlformats.org/drawingml/2006/picture">
                <pic:pic>
                  <pic:nvPicPr>
                    <pic:cNvPr descr="figures/cd1_fig_conceptual_model.png" id="36" name="Picture"/>
                    <pic:cNvPicPr>
                      <a:picLocks noChangeArrowheads="1" noChangeAspect="1"/>
                    </pic:cNvPicPr>
                  </pic:nvPicPr>
                  <pic:blipFill>
                    <a:blip r:embed="rId34"/>
                    <a:stretch>
                      <a:fillRect/>
                    </a:stretch>
                  </pic:blipFill>
                  <pic:spPr bwMode="auto">
                    <a:xfrm>
                      <a:off x="0" y="0"/>
                      <a:ext cx="5753100" cy="4005406"/>
                    </a:xfrm>
                    <a:prstGeom prst="rect">
                      <a:avLst/>
                    </a:prstGeom>
                    <a:noFill/>
                    <a:ln w="9525">
                      <a:noFill/>
                      <a:headEnd/>
                      <a:tailEnd/>
                    </a:ln>
                  </pic:spPr>
                </pic:pic>
              </a:graphicData>
            </a:graphic>
          </wp:inline>
        </w:drawing>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7"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7"/>
    <w:bookmarkStart w:id="38"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8"/>
    <w:bookmarkStart w:id="39"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9"/>
    <w:bookmarkStart w:id="40"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40"/>
    <w:bookmarkStart w:id="41"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1"/>
    <w:bookmarkStart w:id="42"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2"/>
    <w:bookmarkEnd w:id="43"/>
    <w:bookmarkStart w:id="48" w:name="X98f20b91300399974782a05c423861b6489fac2"/>
    <w:p>
      <w:pPr>
        <w:pStyle w:val="Heading3"/>
      </w:pPr>
      <w:r>
        <w:t xml:space="preserve">2.3.2 Khung phân loại thể chế ICRV</w:t>
      </w:r>
    </w:p>
    <w:bookmarkStart w:id="44"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4"/>
    <w:bookmarkStart w:id="45"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bookmarkEnd w:id="45"/>
    <w:bookmarkStart w:id="46" w:name="Xf7d9913cec36105fb3fd76cb4b804925215a981"/>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(pool mô tả)</w:t>
            </w:r>
          </w:p>
        </w:tc>
      </w:tr>
    </w:tbl>
    <w:p>
      <w:pPr>
        <w:pStyle w:val="BodyTex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(pool phân loại 96.415 / 52 nền); vòng tái ước lượng 50 nền đã hoàn tất nên mô tả và ước lượng nay dùng chung MỘT khung 50 nền (hồi quy M2 N=81.022; M5 N=79.080).</w:t>
      </w:r>
    </w:p>
    <w:bookmarkEnd w:id="46"/>
    <w:bookmarkStart w:id="47"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voids thể chế →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p>
      <w:r>
        <w:pict>
          <v:rect style="width:0;height:1.5pt" o:hralign="center" o:hrstd="t" o:hr="t"/>
        </w:pict>
      </w:r>
    </w:p>
    <w:bookmarkEnd w:id="47"/>
    <w:bookmarkEnd w:id="48"/>
    <w:bookmarkStart w:id="61" w:name="X7a4557ec5f328bbc85d5a4ed1bb75ea10e661ff"/>
    <w:p>
      <w:pPr>
        <w:pStyle w:val="Heading3"/>
      </w:pPr>
      <w:r>
        <w:t xml:space="preserve">2.3.3 Thực trạng năng suất lao động và quốc tế hóa</w:t>
      </w:r>
    </w:p>
    <w:bookmarkStart w:id="55"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pool, gồm Nhật Bản, đợt khảo sát đầu tiên, n=2.168); đợt khảo sát Nepal 2025 dùng bảng hỏi BREADY Micro (doanh nghiệp siêu nhỏ), không phải cross-section chuẩn nên không thuộc pool, chỉ được nhắc đến như tham chiếu.</w:t>
      </w:r>
    </w:p>
    <w:p>
      <w:pPr>
        <w:pStyle w:val="BodyText"/>
      </w:pPr>
      <w:r>
        <w:drawing>
          <wp:inline>
            <wp:extent cx="5753100" cy="3477620"/>
            <wp:effectExtent b="0" l="0" r="0" t="0"/>
            <wp:docPr descr="Hình 2.3.3.1. Phân bố pool mô tả theo 3 thế hệ schema WBES." title="" id="50" name="Picture"/>
            <a:graphic>
              <a:graphicData uri="http://schemas.openxmlformats.org/drawingml/2006/picture">
                <pic:pic>
                  <pic:nvPicPr>
                    <pic:cNvPr descr="figures/hinh_2_3_3_1.png" id="51" name="Picture"/>
                    <pic:cNvPicPr>
                      <a:picLocks noChangeArrowheads="1" noChangeAspect="1"/>
                    </pic:cNvPicPr>
                  </pic:nvPicPr>
                  <pic:blipFill>
                    <a:blip r:embed="rId49"/>
                    <a:stretch>
                      <a:fillRect/>
                    </a:stretch>
                  </pic:blipFill>
                  <pic:spPr bwMode="auto">
                    <a:xfrm>
                      <a:off x="0" y="0"/>
                      <a:ext cx="5753100" cy="3477620"/>
                    </a:xfrm>
                    <a:prstGeom prst="rect">
                      <a:avLst/>
                    </a:prstGeom>
                    <a:noFill/>
                    <a:ln w="9525">
                      <a:noFill/>
                      <a:headEnd/>
                      <a:tailEnd/>
                    </a:ln>
                  </pic:spPr>
                </pic:pic>
              </a:graphicData>
            </a:graphic>
          </wp:inline>
        </w:drawing>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drawing>
          <wp:inline>
            <wp:extent cx="5753100" cy="2837145"/>
            <wp:effectExtent b="0" l="0" r="0" t="0"/>
            <wp:docPr descr="Hình 2.3.3.2. Phân bố pool theo 6 nhóm ICRV." title="" id="53" name="Picture"/>
            <a:graphic>
              <a:graphicData uri="http://schemas.openxmlformats.org/drawingml/2006/picture">
                <pic:pic>
                  <pic:nvPicPr>
                    <pic:cNvPr descr="figures/hinh_2_3_3_2.png" id="54" name="Picture"/>
                    <pic:cNvPicPr>
                      <a:picLocks noChangeArrowheads="1" noChangeAspect="1"/>
                    </pic:cNvPicPr>
                  </pic:nvPicPr>
                  <pic:blipFill>
                    <a:blip r:embed="rId52"/>
                    <a:stretch>
                      <a:fillRect/>
                    </a:stretch>
                  </pic:blipFill>
                  <pic:spPr bwMode="auto">
                    <a:xfrm>
                      <a:off x="0" y="0"/>
                      <a:ext cx="5753100" cy="2837145"/>
                    </a:xfrm>
                    <a:prstGeom prst="rect">
                      <a:avLst/>
                    </a:prstGeom>
                    <a:noFill/>
                    <a:ln w="9525">
                      <a:noFill/>
                      <a:headEnd/>
                      <a:tailEnd/>
                    </a:ln>
                  </pic:spPr>
                </pic:pic>
              </a:graphicData>
            </a:graphic>
          </wp:inline>
        </w:drawing>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5"/>
    <w:bookmarkStart w:id="59" w:name="X776ba5e7e4447177ea5f3b43c9e3a363fcc40bd"/>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drawing>
          <wp:inline>
            <wp:extent cx="5753100" cy="3627703"/>
            <wp:effectExtent b="0" l="0" r="0" t="0"/>
            <wp:docPr descr="Hình 2.3.3.3. Phân phối năng suất chuẩn hóa theo nhóm ICRV." title="" id="57" name="Picture"/>
            <a:graphic>
              <a:graphicData uri="http://schemas.openxmlformats.org/drawingml/2006/picture">
                <pic:pic>
                  <pic:nvPicPr>
                    <pic:cNvPr descr="figures/hinh_2_3_3_3.png" id="58" name="Picture"/>
                    <pic:cNvPicPr>
                      <a:picLocks noChangeArrowheads="1" noChangeAspect="1"/>
                    </pic:cNvPicPr>
                  </pic:nvPicPr>
                  <pic:blipFill>
                    <a:blip r:embed="rId56"/>
                    <a:stretch>
                      <a:fillRect/>
                    </a:stretch>
                  </pic:blipFill>
                  <pic:spPr bwMode="auto">
                    <a:xfrm>
                      <a:off x="0" y="0"/>
                      <a:ext cx="5753100" cy="3627703"/>
                    </a:xfrm>
                    <a:prstGeom prst="rect">
                      <a:avLst/>
                    </a:prstGeom>
                    <a:noFill/>
                    <a:ln w="9525">
                      <a:noFill/>
                      <a:headEnd/>
                      <a:tailEnd/>
                    </a:ln>
                  </pic:spPr>
                </pic:pic>
              </a:graphicData>
            </a:graphic>
          </wp:inline>
        </w:drawing>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9"/>
    <w:bookmarkStart w:id="60"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60"/>
    <w:bookmarkEnd w:id="61"/>
    <w:bookmarkStart w:id="65" w:name="X48a64f0ab0a551639b88ae683205b88fc505339"/>
    <w:p>
      <w:pPr>
        <w:pStyle w:val="Heading3"/>
      </w:pPr>
      <w:r>
        <w:t xml:space="preserve">2.3.4 Đổi mới sáng tạo và năng lực số hóa</w:t>
      </w:r>
    </w:p>
    <w:bookmarkStart w:id="62"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62"/>
    <w:bookmarkStart w:id="63"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 "thích nghi và nhảy vọt số" 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63"/>
    <w:bookmarkStart w:id="64" w:name="X7aecda332f86c9804cfaa4302f29a8878b0c612"/>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 "không website" 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 "bão hòa thước đo" khỏi phần bù số thực. Theo logic đó, biến Spec 1 được đặt tên chính xác là</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64"/>
    <w:bookmarkEnd w:id="65"/>
    <w:bookmarkStart w:id="71" w:name="X72eb40a6f7e25bc137b858c80c8b2c164b34062"/>
    <w:p>
      <w:pPr>
        <w:pStyle w:val="Heading3"/>
      </w:pPr>
      <w:r>
        <w:t xml:space="preserve">2.3.5 Cấu trúc doanh nghiệp</w:t>
      </w:r>
    </w:p>
    <w:bookmarkStart w:id="69"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drawing>
          <wp:inline>
            <wp:extent cx="5753100" cy="3479196"/>
            <wp:effectExtent b="0" l="0" r="0" t="0"/>
            <wp:docPr descr="Hình 2.3.5.1. Cấu trúc doanh nghiệp theo nhóm ICRV." title="" id="67" name="Picture"/>
            <a:graphic>
              <a:graphicData uri="http://schemas.openxmlformats.org/drawingml/2006/picture">
                <pic:pic>
                  <pic:nvPicPr>
                    <pic:cNvPr descr="figures/hinh_2_3_5_1.png" id="68" name="Picture"/>
                    <pic:cNvPicPr>
                      <a:picLocks noChangeArrowheads="1" noChangeAspect="1"/>
                    </pic:cNvPicPr>
                  </pic:nvPicPr>
                  <pic:blipFill>
                    <a:blip r:embed="rId66"/>
                    <a:stretch>
                      <a:fillRect/>
                    </a:stretch>
                  </pic:blipFill>
                  <pic:spPr bwMode="auto">
                    <a:xfrm>
                      <a:off x="0" y="0"/>
                      <a:ext cx="5753100" cy="3479196"/>
                    </a:xfrm>
                    <a:prstGeom prst="rect">
                      <a:avLst/>
                    </a:prstGeom>
                    <a:noFill/>
                    <a:ln w="9525">
                      <a:noFill/>
                      <a:headEnd/>
                      <a:tailEnd/>
                    </a:ln>
                  </pic:spPr>
                </pic:pic>
              </a:graphicData>
            </a:graphic>
          </wp:inline>
        </w:drawing>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9"/>
    <w:bookmarkStart w:id="70"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70"/>
    <w:bookmarkEnd w:id="71"/>
    <w:bookmarkStart w:id="83" w:name="X82a959cf0a041751d0e227944f9c22b99cf66d4"/>
    <w:p>
      <w:pPr>
        <w:pStyle w:val="Heading3"/>
      </w:pPr>
      <w:r>
        <w:t xml:space="preserve">2.3.6 Biến thiên theo thời gian (2006–2026)</w:t>
      </w:r>
    </w:p>
    <w:bookmarkStart w:id="78"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drawing>
          <wp:inline>
            <wp:extent cx="5753100" cy="3591824"/>
            <wp:effectExtent b="0" l="0" r="0" t="0"/>
            <wp:docPr descr="Hình 2.3.4.1. Δ điểm phần trăm 5 chỉ số giữa hai kỳ theo nhóm ICRV." title="" id="73" name="Picture"/>
            <a:graphic>
              <a:graphicData uri="http://schemas.openxmlformats.org/drawingml/2006/picture">
                <pic:pic>
                  <pic:nvPicPr>
                    <pic:cNvPr descr="figures/hinh_2_3_4_1.png" id="74" name="Picture"/>
                    <pic:cNvPicPr>
                      <a:picLocks noChangeArrowheads="1" noChangeAspect="1"/>
                    </pic:cNvPicPr>
                  </pic:nvPicPr>
                  <pic:blipFill>
                    <a:blip r:embed="rId72"/>
                    <a:stretch>
                      <a:fillRect/>
                    </a:stretch>
                  </pic:blipFill>
                  <pic:spPr bwMode="auto">
                    <a:xfrm>
                      <a:off x="0" y="0"/>
                      <a:ext cx="5753100" cy="3591824"/>
                    </a:xfrm>
                    <a:prstGeom prst="rect">
                      <a:avLst/>
                    </a:prstGeom>
                    <a:noFill/>
                    <a:ln w="9525">
                      <a:noFill/>
                      <a:headEnd/>
                      <a:tailEnd/>
                    </a:ln>
                  </pic:spPr>
                </pic:pic>
              </a:graphicData>
            </a:graphic>
          </wp:inline>
        </w:drawing>
      </w:r>
    </w:p>
    <w:p>
      <w:pPr>
        <w:pStyle w:val="BodyText"/>
      </w:pPr>
      <w:r>
        <w:rPr>
          <w:iCs/>
          <w:i/>
        </w:rPr>
        <w:t xml:space="preserve">Hình 2.3.4.1. Biểu đồ thanh Δ điểm phần trăm (2018–2026 so với 2006–2012) cho 5 chỉ số ở 4 nhóm ICRV có dữ liệu hai kỳ (III–VI), số liệu từ Bảng 2.3.6.1. Pattern nổi bật: website tăng mạnh ở IV/V/VI; FDI giảm nhẹ phổ biến; R&amp;D Nhóm V giảm mạnh do hiệu ứng schema (Δ R&amp;D chỉ tính được cho Nhóm V).</w:t>
      </w:r>
    </w:p>
    <w:p>
      <w:pPr>
        <w:pStyle w:val="BodyText"/>
      </w:pPr>
      <w:r>
        <w:drawing>
          <wp:inline>
            <wp:extent cx="5753100" cy="5040937"/>
            <wp:effectExtent b="0" l="0" r="0" t="0"/>
            <wp:docPr descr="Hình 2.3.6.1. Hồ sơ năng lực 5 chiều theo nhóm ICRV." title="" id="76" name="Picture"/>
            <a:graphic>
              <a:graphicData uri="http://schemas.openxmlformats.org/drawingml/2006/picture">
                <pic:pic>
                  <pic:nvPicPr>
                    <pic:cNvPr descr="figures/hinh_2_3_6_1.png" id="77" name="Picture"/>
                    <pic:cNvPicPr>
                      <a:picLocks noChangeArrowheads="1" noChangeAspect="1"/>
                    </pic:cNvPicPr>
                  </pic:nvPicPr>
                  <pic:blipFill>
                    <a:blip r:embed="rId75"/>
                    <a:stretch>
                      <a:fillRect/>
                    </a:stretch>
                  </pic:blipFill>
                  <pic:spPr bwMode="auto">
                    <a:xfrm>
                      <a:off x="0" y="0"/>
                      <a:ext cx="5753100" cy="5040937"/>
                    </a:xfrm>
                    <a:prstGeom prst="rect">
                      <a:avLst/>
                    </a:prstGeom>
                    <a:noFill/>
                    <a:ln w="9525">
                      <a:noFill/>
                      <a:headEnd/>
                      <a:tailEnd/>
                    </a:ln>
                  </pic:spPr>
                </pic:pic>
              </a:graphicData>
            </a:graphic>
          </wp:inline>
        </w:drawing>
      </w:r>
    </w:p>
    <w:p>
      <w:pPr>
        <w:pStyle w:val="BodyText"/>
      </w:pPr>
      <w:r>
        <w:rPr>
          <w:iCs/>
          <w:i/>
        </w:rPr>
        <w:t xml:space="preserve">Hình 2.3.6.1. Radar/spider chart cho 3 nhóm (III, V, VI) trên 5 chiều (FSTS, Đổi mới sản phẩm, R&amp;D, Website, ISO), giá trị % của pool mô tả hiện hành 2006–2026 (Bảng 2.3.3.2 và 2.3.4.1); biến thiên theo thời gian được trình bày ở Hình 2.3.4.1.</w:t>
      </w:r>
    </w:p>
    <w:bookmarkEnd w:id="78"/>
    <w:bookmarkStart w:id="79"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9"/>
    <w:bookmarkStart w:id="80"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80"/>
    <w:bookmarkStart w:id="81" w:name="X1b799045073fd36c347ac53fe12b90987840278"/>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 "Emerging Asia" 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1"/>
    <w:bookmarkStart w:id="82"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 "số hóa tăng, xuất khẩu giảm";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 "số hóa cao" (FJI, MDV) so với "cô lập nông thôn" (KIR), Chuyên đề 2 cần tách 2 phân nhóm con SIDS.</w:t>
      </w:r>
    </w:p>
    <w:p>
      <w:r>
        <w:pict>
          <v:rect style="width:0;height:1.5pt" o:hralign="center" o:hrstd="t" o:hr="t"/>
        </w:pict>
      </w:r>
    </w:p>
    <w:bookmarkEnd w:id="82"/>
    <w:bookmarkEnd w:id="83"/>
    <w:bookmarkStart w:id="95" w:name="X41cc6b9f5a394a01cb140f24cedffe0fb56250b"/>
    <w:p>
      <w:pPr>
        <w:pStyle w:val="Heading3"/>
      </w:pPr>
      <w:r>
        <w:t xml:space="preserve">2.3.7 Bảy trường hợp điển hình</w:t>
      </w:r>
    </w:p>
    <w:bookmarkStart w:id="84" w:name="X3e0c2f14849a2ac59a836b8f2f5f68dc060f060"/>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4"/>
    <w:bookmarkStart w:id="85"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5"/>
    <w:bookmarkStart w:id="86" w:name="Xa2fcf2963d62d674bf8ce4911fb7e8ea8f02399"/>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6"/>
    <w:bookmarkStart w:id="87" w:name="Xe394f28c312dc3d83bf59ea0b914b1faca652d0"/>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7"/>
    <w:bookmarkStart w:id="88" w:name="X7ad8959238af7fe957e85a7453908acb162ac21"/>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8"/>
    <w:bookmarkStart w:id="92" w:name="X701bac8b09e9853b656f5f073afcc3963209ea3"/>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drawing>
          <wp:inline>
            <wp:extent cx="5753100" cy="3634710"/>
            <wp:effectExtent b="0" l="0" r="0" t="0"/>
            <wp:docPr descr="Hình 2.3.7.1. Mông Cổ: tiến triển 2009–2019." title="" id="90" name="Picture"/>
            <a:graphic>
              <a:graphicData uri="http://schemas.openxmlformats.org/drawingml/2006/picture">
                <pic:pic>
                  <pic:nvPicPr>
                    <pic:cNvPr descr="figures/hinh_2_3_7_1.png" id="91" name="Picture"/>
                    <pic:cNvPicPr>
                      <a:picLocks noChangeArrowheads="1" noChangeAspect="1"/>
                    </pic:cNvPicPr>
                  </pic:nvPicPr>
                  <pic:blipFill>
                    <a:blip r:embed="rId89"/>
                    <a:stretch>
                      <a:fillRect/>
                    </a:stretch>
                  </pic:blipFill>
                  <pic:spPr bwMode="auto">
                    <a:xfrm>
                      <a:off x="0" y="0"/>
                      <a:ext cx="5753100" cy="3634710"/>
                    </a:xfrm>
                    <a:prstGeom prst="rect">
                      <a:avLst/>
                    </a:prstGeom>
                    <a:noFill/>
                    <a:ln w="9525">
                      <a:noFill/>
                      <a:headEnd/>
                      <a:tailEnd/>
                    </a:ln>
                  </pic:spPr>
                </pic:pic>
              </a:graphicData>
            </a:graphic>
          </wp:inline>
        </w:drawing>
      </w:r>
    </w:p>
    <w:p>
      <w:pPr>
        <w:pStyle w:val="BodyText"/>
      </w:pPr>
      <w:r>
        <w:rPr>
          <w:iCs/>
          <w:i/>
        </w:rPr>
        <w:t xml:space="preserve">Hình 2.3.7.1. Mông Cổ: tiến triển 2009–2019 (3 đợt khảo sát WBES), FSTS đình trệ; FDI giảm dần phản ánh lời nguyền tài nguyên giai đoạn 1.</w:t>
      </w:r>
    </w:p>
    <w:bookmarkEnd w:id="92"/>
    <w:bookmarkStart w:id="93" w:name="Xc0a4ea850bece4f5b7a70c394feb098616aca64"/>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3"/>
    <w:bookmarkStart w:id="94"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4"/>
    <w:bookmarkEnd w:id="95"/>
    <w:bookmarkStart w:id="99" w:name="X268ac3e7736b22d5a7e7bb0dd0db24ee7c9a0fe"/>
    <w:p>
      <w:pPr>
        <w:pStyle w:val="Heading3"/>
      </w:pPr>
      <w:r>
        <w:t xml:space="preserve">2.3.8 Yếu tố giải thích sơ bộ</w:t>
      </w:r>
    </w:p>
    <w:bookmarkStart w:id="96" w:name="X76fd8dbe2b9b91bea7918a9270911a7c211abd5"/>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96"/>
    <w:bookmarkStart w:id="97" w:name="Xc5e23c35493c354200b0ad8563760e9cf998323"/>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7"/>
    <w:bookmarkStart w:id="98"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8"/>
    <w:bookmarkEnd w:id="99"/>
    <w:bookmarkStart w:id="104" w:name="Xf043498bf1729b29cfab4f032a23e6f500dd3c3"/>
    <w:p>
      <w:pPr>
        <w:pStyle w:val="Heading3"/>
      </w:pPr>
      <w:r>
        <w:t xml:space="preserve">2.3.9 Thảo luận tổng hợp</w:t>
      </w:r>
    </w:p>
    <w:bookmarkStart w:id="100" w:name="X50398870d83cde6afbab045058663d7d92dfa78"/>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pool,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100"/>
    <w:bookmarkStart w:id="101"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1"/>
    <w:bookmarkStart w:id="102"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2"/>
    <w:bookmarkStart w:id="103"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50 nền với 88.869 doanh nghiệp / 103 cặp nền kinh tế × năm (gồm Nhật Bản; pool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103"/>
    <w:bookmarkEnd w:id="104"/>
    <w:bookmarkEnd w:id="105"/>
    <w:bookmarkStart w:id="110" w:name="X823a172d700e07156f307d64ebb51dd68a5ba8d"/>
    <w:p>
      <w:pPr>
        <w:pStyle w:val="Heading2"/>
      </w:pPr>
      <w:r>
        <w:t xml:space="preserve">2.4 KẾT LUẬN</w:t>
      </w:r>
    </w:p>
    <w:bookmarkStart w:id="106" w:name="X45ad1c2c92641d62b5ddf89c8644d597d843847"/>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106"/>
    <w:bookmarkStart w:id="109" w:name="X7e7dd0c69ae63ee797d467ac3735f8a7b3df6f2"/>
    <w:p>
      <w:pPr>
        <w:pStyle w:val="Heading3"/>
      </w:pPr>
      <w:r>
        <w:t xml:space="preserve">2.4.2 Hàm ý và đề xuất</w:t>
      </w:r>
    </w:p>
    <w:bookmarkStart w:id="107"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7"/>
    <w:bookmarkStart w:id="108"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108"/>
    <w:bookmarkEnd w:id="109"/>
    <w:bookmarkEnd w:id="110"/>
    <w:bookmarkStart w:id="12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111">
        <w:r>
          <w:rPr>
            <w:rStyle w:val="Hyperlink"/>
          </w:rPr>
          <w:t xml:space="preserve">https://doi.org/10.1016/j.jbusres.2008.01.013</w:t>
        </w:r>
      </w:hyperlink>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112">
        <w:r>
          <w:rPr>
            <w:rStyle w:val="Hyperlink"/>
          </w:rPr>
          <w:t xml:space="preserve">https://doi.org/10.1016/S1479-8387(05)02011-4</w:t>
        </w:r>
      </w:hyperlink>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r>
        <w:t xml:space="preserve"> </w:t>
      </w:r>
      <w:hyperlink r:id="rId113">
        <w:r>
          <w:rPr>
            <w:rStyle w:val="Hyperlink"/>
          </w:rPr>
          <w:t xml:space="preserve">https://doi.org/10.1007/s11187-008-9156-4</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14">
        <w:r>
          <w:rPr>
            <w:rStyle w:val="Hyperlink"/>
          </w:rPr>
          <w:t xml:space="preserve">https://doi.org/10.1016/0305-750X(92)90097-F</w:t>
        </w:r>
      </w:hyperlink>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r>
        <w:t xml:space="preserve"> </w:t>
      </w:r>
      <w:hyperlink r:id="rId115">
        <w:r>
          <w:rPr>
            <w:rStyle w:val="Hyperlink"/>
          </w:rPr>
          <w:t xml:space="preserve">https://doi.org/10.1002/smj.184</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r>
        <w:t xml:space="preserve"> </w:t>
      </w:r>
      <w:hyperlink r:id="rId116">
        <w:r>
          <w:rPr>
            <w:rStyle w:val="Hyperlink"/>
          </w:rPr>
          <w:t xml:space="preserve">https://doi.org/10.1057/palgrave.jibs.8490011</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117">
        <w:r>
          <w:rPr>
            <w:rStyle w:val="Hyperlink"/>
          </w:rPr>
          <w:t xml:space="preserve">https://doi.org/10.1177/0149206308330560</w:t>
        </w:r>
      </w:hyperlink>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r>
        <w:t xml:space="preserve"> </w:t>
      </w:r>
      <w:hyperlink r:id="rId118">
        <w:r>
          <w:rPr>
            <w:rStyle w:val="Hyperlink"/>
          </w:rPr>
          <w:t xml:space="preserve">https://doi.org/10.1057/palgrave.jibs.8490203</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w:t>
      </w:r>
      <w:r>
        <w:t xml:space="preserve"> </w:t>
      </w:r>
      <w:hyperlink r:id="rId119">
        <w:r>
          <w:rPr>
            <w:rStyle w:val="Hyperlink"/>
          </w:rPr>
          <w:t xml:space="preserve">https://datahelpdesk.worldbank.org/knowledgebase/articles/906519</w:t>
        </w:r>
      </w:hyperlink>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20"/>
    <w:bookmarkStart w:id="122" w:name="phụ-lục"/>
    <w:p>
      <w:pPr>
        <w:pStyle w:val="Heading2"/>
      </w:pPr>
      <w:r>
        <w:t xml:space="preserve">PHỤ LỤC</w:t>
      </w:r>
    </w:p>
    <w:bookmarkStart w:id="121"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88.869 doanh nghiệp / 50 nền, gồm Nhật Bản; pool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pool mô tả</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21"/>
    <w:bookmarkEnd w:id="12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hyperlink" Id="rId119" Target="https://datahelpdesk.worldbank.org/knowledgebase/articles/906519" TargetMode="External" /><Relationship Type="http://schemas.openxmlformats.org/officeDocument/2006/relationships/hyperlink" Id="rId115" Target="https://doi.org/10.1002/smj.184" TargetMode="External" /><Relationship Type="http://schemas.openxmlformats.org/officeDocument/2006/relationships/hyperlink" Id="rId113" Target="https://doi.org/10.1007/s11187-008-9156-4" TargetMode="External" /><Relationship Type="http://schemas.openxmlformats.org/officeDocument/2006/relationships/hyperlink" Id="rId114" Target="https://doi.org/10.1016/0305-750X(92)90097-F" TargetMode="External" /><Relationship Type="http://schemas.openxmlformats.org/officeDocument/2006/relationships/hyperlink" Id="rId112" Target="https://doi.org/10.1016/S1479-8387(05)02011-4" TargetMode="External" /><Relationship Type="http://schemas.openxmlformats.org/officeDocument/2006/relationships/hyperlink" Id="rId111" Target="https://doi.org/10.1016/j.jbusres.2008.01.013" TargetMode="External" /><Relationship Type="http://schemas.openxmlformats.org/officeDocument/2006/relationships/hyperlink" Id="rId116" Target="https://doi.org/10.1057/palgrave.jibs.8490011" TargetMode="External" /><Relationship Type="http://schemas.openxmlformats.org/officeDocument/2006/relationships/hyperlink" Id="rId118" Target="https://doi.org/10.1057/palgrave.jibs.8490203" TargetMode="External" /><Relationship Type="http://schemas.openxmlformats.org/officeDocument/2006/relationships/hyperlink" Id="rId117" Target="https://doi.org/10.1177/0149206308330560" TargetMode="External" /></Relationships>
</file>

<file path=word/_rels/footnotes.xml.rels><?xml version="1.0" encoding="UTF-8"?><Relationships xmlns="http://schemas.openxmlformats.org/package/2006/relationships"><Relationship Type="http://schemas.openxmlformats.org/officeDocument/2006/relationships/hyperlink" Id="rId119" Target="https://datahelpdesk.worldbank.org/knowledgebase/articles/906519" TargetMode="External" /><Relationship Type="http://schemas.openxmlformats.org/officeDocument/2006/relationships/hyperlink" Id="rId115" Target="https://doi.org/10.1002/smj.184" TargetMode="External" /><Relationship Type="http://schemas.openxmlformats.org/officeDocument/2006/relationships/hyperlink" Id="rId113" Target="https://doi.org/10.1007/s11187-008-9156-4" TargetMode="External" /><Relationship Type="http://schemas.openxmlformats.org/officeDocument/2006/relationships/hyperlink" Id="rId114" Target="https://doi.org/10.1016/0305-750X(92)90097-F" TargetMode="External" /><Relationship Type="http://schemas.openxmlformats.org/officeDocument/2006/relationships/hyperlink" Id="rId112" Target="https://doi.org/10.1016/S1479-8387(05)02011-4" TargetMode="External" /><Relationship Type="http://schemas.openxmlformats.org/officeDocument/2006/relationships/hyperlink" Id="rId111" Target="https://doi.org/10.1016/j.jbusres.2008.01.013" TargetMode="External" /><Relationship Type="http://schemas.openxmlformats.org/officeDocument/2006/relationships/hyperlink" Id="rId116" Target="https://doi.org/10.1057/palgrave.jibs.8490011" TargetMode="External" /><Relationship Type="http://schemas.openxmlformats.org/officeDocument/2006/relationships/hyperlink" Id="rId118" Target="https://doi.org/10.1057/palgrave.jibs.8490203" TargetMode="External" /><Relationship Type="http://schemas.openxmlformats.org/officeDocument/2006/relationships/hyperlink" Id="rId117" Target="https://doi.org/10.1177/01492063083305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2026-06-15T04:59:39Z</dcterms:created>
  <dcterms:modified xsi:type="dcterms:W3CDTF">2026-06-15T04:59:39Z</dcterms:modified>
</cp:coreProperties>
</file>

<file path=docProps/custom.xml><?xml version="1.0" encoding="utf-8"?>
<Properties xmlns="http://schemas.openxmlformats.org/officeDocument/2006/custom-properties" xmlns:vt="http://schemas.openxmlformats.org/officeDocument/2006/docPropsVTypes"/>
</file>