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98,658 firm-observations (baseline estimation sample N = 82,302 after non-missing productivity and export-intensity requirements; 28,500 in the fully specified model) across 45 economies and 98 country-year waves of the World Bank Enterprise Survey (2003–2025), spanning all six groups of the Institutional Context Regime Variation (ICRV) framework, we estimate a hierarchical set of OLS models with HC1 robust standard errors. We confirm a robustly inverted-U I–P relationship with a turning point at approximately 37% of sales from exports (Lind–Mehlum test p &lt; .001; confirmed in M11 at TP=25.7%, p=.026). Institutional regime systematically moderates this optimum: the concavity of the inverted-U deepens as institutional quality declines, so the performance penalty to over-internationalisation is sharpest in frontier and vulnerable regimes and flattest in advanced ones.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.049),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w:t>
      </w:r>
      <w:r>
        <w:t xml:space="preserve">— not the sign of the average effect —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Our sample spans all six ICRV regime groups — from advanced innovation-driven economies (Singapore, Korea, Taiwan, HongKong, Israel) to Pacific Small Island Developing States (Vanuatu, Solomon Islands, Fiji, Tonga, Samoa, Kiribati, Papua New Guinea, Timor-Leste) and Gulf advanced-resource economies (Bahrain, Kuwait, Qatar, Brunei, Saudi Arabia) — classified through the Institutional Context Regime Variation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.049),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Context Regime Variation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We integrate them through a single contingency construct — the</w:t>
      </w:r>
      <w:r>
        <w:t xml:space="preserve"> </w:t>
      </w:r>
      <w:r>
        <w:rPr>
          <w:bCs/>
          <w:b/>
        </w:rPr>
        <w:t xml:space="preserve">Institutional Context Regime Variation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(~82%),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We use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We adopt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we exclude economies that straddle the Europe–Asia boundary and are conventionally treated as transcontinental: Türkiye and Cyprus, and the three South Caucasus economies (Armenia, Azerbaijan, Georgia) —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 ≈ 36,481; adding DAI (M8) N ≈ 36,372; manager models (M9) N ≈ 34,228; ICRV-moderation (M10) N ≈ 30,360; full three-way (M11) N ≈ 28,500.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3"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 ≈ 0), reflecting the fact that most WBES firms are domestically oriented; exporters (FSTS &gt; 0) represent approximately 18% of the sample. Labour productivity ranges from ln(LP) ≈ 9 (Kiribati, Timor-Leste) to ln(LP) ≈ 20 (Vietnam, Korea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+1.211 (p &lt; .001) and β₂ = −1.630 (p &lt; .001), consistent with an inverted-U. Following Haans, Pieters, and He (2016), all four formal conditions for a genuine inverted-U are satisfied in M2: (C1) β₁ = +1.211 (p &lt; .001), confirming a positive ascending limb; (C2) β₂ = −1.630 (p &lt; .001), confirming concavity; (C3) the turning point TP* ≈ 37.1% lies well within the observed FSTS range [0%, 100%]; and (C4) the marginal effect of internationalization is positive at the lower data boundary (FSTS ≈ 0%, slope ≈ +1.21) and negative at the upper boundary (FSTS ≈ 100%, slope ≈ −2.05), with opposite signs confirmed by the Lind–Mehlum (2010) u-test (joint p &lt; .001). The inverted-U remains significant when controls are added (M3: TP = 34.1%, LM p &lt; .001) and when country-year fixed effects absorb all unobserved time-varying country heterogeneity (M5: TP = 39.5%, LM p &lt; .001, adjR² = .671). The consistency of the turning point across M2, M3, and M5 — ranging from 34.1% to 39.5% — provides strong evidence that the inverted-U is not an artefact of omitted country-level confounders. Crucially, the inverted-U is also confirmed in the full three-way moderation model M11 (TP = 25.7%, LM p =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+0.342, p &lt; .001) raises adjR² from .017 to .027. The interaction model M7 adds FSTS×TCI and FSTS²×TCI. Results show:</w:t>
      </w:r>
    </w:p>
    <w:p>
      <w:pPr>
        <w:numPr>
          <w:ilvl w:val="0"/>
          <w:numId w:val="1001"/>
        </w:numPr>
        <w:pStyle w:val="Compact"/>
      </w:pPr>
      <w:r>
        <w:t xml:space="preserve">TCI main effect: β = +0.372 (p &lt; .001) — higher TCI raises baseline performance</w:t>
      </w:r>
    </w:p>
    <w:p>
      <w:pPr>
        <w:numPr>
          <w:ilvl w:val="0"/>
          <w:numId w:val="1001"/>
        </w:numPr>
        <w:pStyle w:val="Compact"/>
      </w:pPr>
      <w:r>
        <w:t xml:space="preserve">FSTS×TCI: β = −0.111 (NS) — the ascending limb interaction is not significant</w:t>
      </w:r>
    </w:p>
    <w:p>
      <w:pPr>
        <w:numPr>
          <w:ilvl w:val="0"/>
          <w:numId w:val="1001"/>
        </w:numPr>
        <w:pStyle w:val="Compact"/>
      </w:pPr>
      <w:r>
        <w:t xml:space="preserve">FSTS²×TCI: β = −0.191 (NS in M7; remains NS in M8, p = .077)</w:t>
      </w:r>
    </w:p>
    <w:p>
      <w:pPr>
        <w:pStyle w:val="FirstParagraph"/>
      </w:pPr>
      <w:r>
        <w:t xml:space="preserve">The joint F-test for the two TCI interaction terms is not significant across M7–M9. The inverted-U remains confirmed in M7 (TP = 34.2%, LM p &lt; .001). A one-SD increase in TCI raises labour productivity by exp(0.372) − 1 ≈ 45%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+0.172, p &lt; .001), consistent with approximately a 19% performance premium for digitally active firms (exp(0.172) − 1 ≈ 19%). Strikingly, both DAI interaction terms are statistically significant in M8: FSTS×DAI = −0.588 (p &lt; .001,</w:t>
      </w:r>
      <w:r>
        <w:t xml:space="preserve"> </w:t>
      </w:r>
      <w:r>
        <w:rPr>
          <w:bCs/>
          <w:b/>
          <w:iCs/>
          <w:i/>
        </w:rPr>
        <w:t xml:space="preserve">) and FSTS²×DAI = +0.726 (p = .002,</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−0.786 (p &lt; .001,</w:t>
      </w:r>
      <w:r>
        <w:rPr>
          <w:iCs/>
          <w:i/>
        </w:rPr>
        <w:t xml:space="preserve"> </w:t>
      </w:r>
      <w:r>
        <w:rPr>
          <w:bCs/>
          <w:b/>
        </w:rPr>
        <w:t xml:space="preserve">) and FSTS²×DAI = +0.982 (p &lt; .001,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+0.018, p &lt; .001) and female top manager (β = +0.202, p &lt; .001) both raise firm performance independently of FSTS in M9. The experience effect implies approximately 2% higher labour productivity per additional year of sectoral experience; the female top manager effect implies approximately a 22% performance premium (exp(0.202) − 1 ≈ 22%). The FSTS×manager_experience interaction is not significant in either M9 (β = +0.005, p = .29) or M11 (β = +0.007, p =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+0.592, p &lt; .001) indicates that — controlling for TCI, DAI, and firm characteristics — each step up the ICRV scale (from Group I to VI, i.e., from stronger to weaker institutions) is associated with approximately an 81% higher labour productivity level (exp(0.592) − 1 ≈ 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+1.849, p &lt; .001) and FSTS²×ICRV (β = −2.932, p &lt; .001). The negative FSTS²×ICRV 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 even mildly convex within the observed range —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25.7%, LM p = .026), establishing that the inverted-U shape holds even in the most demanding specification. The DAI×ICRV interaction (β = +0.052, p = .049, *) is statistically significant, consistent with the CDCM prediction that digital capabilities provide stronger per-unit performance effects in weaker institutional environments. The three-way FSTS×DAI×ICRV term (β = −0.016, NS) is not significant, indicating that the DAI curve-reshaping effect documented in M8/M9 does not systematically vary across the ICRV regime gradient in this specification.</w:t>
      </w:r>
    </w:p>
    <w:p>
      <w:pPr>
        <w:pStyle w:val="BodyText"/>
      </w:pPr>
      <w:r>
        <w:t xml:space="preserve">AdjR² = .057 in M11 (vs. .039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.049), supporting regime-contingent digital effects. The three-way FSTS curve-reshaping via DAI×ICRV does not reach statistical significance — the WBES DAI measure’s limited dimensionality (Tier 1–2 only) likely constrains detection of the full CDCM-predicted interaction.</w:t>
      </w:r>
    </w:p>
    <w:bookmarkEnd w:id="41"/>
    <w:bookmarkStart w:id="42"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we test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(FSTS² β = −0.80, p = .008; TP ≈ 37%) but is</w:t>
      </w:r>
      <w:r>
        <w:t xml:space="preserve"> </w:t>
      </w:r>
      <w:r>
        <w:rPr>
          <w:bCs/>
          <w:b/>
        </w:rPr>
        <w:t xml:space="preserve">not</w:t>
      </w:r>
      <w:r>
        <w:t xml:space="preserve"> </w:t>
      </w:r>
      <w:r>
        <w:t xml:space="preserve">detected for sales growth (FSTS² β ≈ 0, p = .16; n.s.). This divergence is theoretically coherent rather than contradictory: the relocated-optimum mechanism concerns the</w:t>
      </w:r>
      <w:r>
        <w:t xml:space="preserve"> </w:t>
      </w:r>
      <w:r>
        <w:rPr>
          <w:iCs/>
          <w:i/>
        </w:rPr>
        <w:t xml:space="preserve">value captured per unit of internationalisation</w:t>
      </w:r>
      <w:r>
        <w:t xml:space="preserve"> </w:t>
      </w:r>
      <w:r>
        <w:t xml:space="preserve">— a stock property of productivity —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we flag this as a measurement limitation. The headline inverted-U should therefore be read as a property of cross-sectional productivity levels, not of firm growth trajectories.</w:t>
      </w:r>
    </w:p>
    <w:p>
      <w:r>
        <w:pict>
          <v:rect style="width:0;height:1.5pt" o:hralign="center" o:hrstd="t" o:hr="t"/>
        </w:pict>
      </w:r>
    </w:p>
    <w:bookmarkEnd w:id="42"/>
    <w:bookmarkEnd w:id="43"/>
    <w:bookmarkStart w:id="50" w:name="discussion"/>
    <w:p>
      <w:pPr>
        <w:pStyle w:val="Heading2"/>
      </w:pPr>
      <w:r>
        <w:t xml:space="preserve">5. Discussion</w:t>
      </w:r>
    </w:p>
    <w:bookmarkStart w:id="44"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+0.052, p =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45 economies, providing a transportable scaffold for theorising firm strategy under heterogeneous institutional regimes.</w:t>
      </w:r>
    </w:p>
    <w:bookmarkEnd w:id="44"/>
    <w:bookmarkStart w:id="45"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37% foreign sales intensity, robust across 45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45"/>
    <w:bookmarkStart w:id="46"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6"/>
    <w:bookmarkStart w:id="47"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+0.052, p = .049)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7"/>
    <w:bookmarkStart w:id="48"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8"/>
    <w:bookmarkStart w:id="49"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covers 45 ICRV-mapped economies across six regime groups; Oman’s only available wave (2003) lacks the core productivity and export-intensity items and so does not enter the estimation sample. Future waves of the Oman WBES would sharpen Group II estimates.</w:t>
      </w:r>
    </w:p>
    <w:p>
      <w:r>
        <w:pict>
          <v:rect style="width:0;height:1.5pt" o:hralign="center" o:hrstd="t" o:hr="t"/>
        </w:pict>
      </w:r>
    </w:p>
    <w:bookmarkEnd w:id="49"/>
    <w:bookmarkEnd w:id="50"/>
    <w:bookmarkStart w:id="51"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 peaking at approximately 37%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.049)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1"/>
    <w:bookmarkStart w:id="52"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2"/>
    <w:bookmarkStart w:id="53"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(N=28,500, AdjR²=.057, TP=25.7%, LM p=.026): DAI×ICRV=+0.052</w:t>
      </w:r>
      <w:r>
        <w:rPr>
          <w:iCs/>
          <w:i/>
        </w:rPr>
        <w:t xml:space="preserve">, three-way FSTS×DAI×ICRV=−0.016 (NS), mgr_experience=+0.022</w:t>
      </w:r>
      <w:r>
        <w:rPr>
          <w:bCs/>
          <w:b/>
        </w:rPr>
        <w:t xml:space="preserve">, FSTS×mgr=+0.007 (NS), mgr_female=+0.210</w:t>
      </w:r>
      <w:r>
        <w:t xml:space="preserve">*, female_owner=+0.122**.</w:t>
      </w:r>
    </w:p>
    <w:p>
      <w:r>
        <w:pict>
          <v:rect style="width:0;height:1.5pt" o:hralign="center" o:hrstd="t" o:hr="t"/>
        </w:pict>
      </w:r>
    </w:p>
    <w:bookmarkEnd w:id="53"/>
    <w:bookmarkStart w:id="54"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4"/>
    <w:bookmarkEnd w:id="5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2026-05-26T13:02:08Z</dcterms:created>
  <dcterms:modified xsi:type="dcterms:W3CDTF">2026-05-26T13:02:08Z</dcterms:modified>
</cp:coreProperties>
</file>

<file path=docProps/custom.xml><?xml version="1.0" encoding="utf-8"?>
<Properties xmlns="http://schemas.openxmlformats.org/officeDocument/2006/custom-properties" xmlns:vt="http://schemas.openxmlformats.org/officeDocument/2006/docPropsVTypes"/>
</file>