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235</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075</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5</m:t>
        </m:r>
        <m:r>
          <m:rPr>
            <m:sty m:val="p"/>
          </m:rPr>
          <m:t>%</m:t>
        </m:r>
      </m:oMath>
      <w:r>
        <w:t xml:space="preserve">, cho thấy mức dị biệt đáng kể trong tập hợp 235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127</m:t>
        </m:r>
        <m:r>
          <m:rPr>
            <m:sty m:val="p"/>
          </m:rPr>
          <m:t>,</m:t>
        </m:r>
        <m:r>
          <m:t>77</m:t>
        </m:r>
      </m:oMath>
      <w:r>
        <w:t xml:space="preserve">,</w:t>
      </w:r>
      <w:r>
        <w:t xml:space="preserve"> </w:t>
      </w:r>
      <m:oMath>
        <m:r>
          <m:t>d</m:t>
        </m:r>
        <m:r>
          <m:t>f</m:t>
        </m:r>
        <m:r>
          <m:rPr>
            <m:sty m:val="p"/>
          </m:rPr>
          <m:t>=</m:t>
        </m:r>
        <m:r>
          <m:t>4</m:t>
        </m:r>
      </m:oMath>
      <w:r>
        <w:t xml:space="preserve">,</w:t>
      </w:r>
      <w:r>
        <w:t xml:space="preserve"> </w:t>
      </w:r>
      <m:oMath>
        <m:r>
          <m:t>p</m:t>
        </m:r>
        <m:r>
          <m:rPr>
            <m:sty m:val="p"/>
          </m:rPr>
          <m:t>&lt;</m:t>
        </m:r>
        <m:r>
          <m:rPr>
            <m:sty m:val="p"/>
          </m:rPr>
          <m:t>,</m:t>
        </m:r>
        <m:r>
          <m:t>001</m:t>
        </m:r>
      </m:oMath>
      <w:r>
        <w:t xml:space="preserve">. Điều này xác nhận rằng chế độ thể chế — được phân loại thành sáu nhóm từ Advanced Innovation-Driven (Nhóm I: Singapore, Hong Kong, Đài Loan, Nhật Bản,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lớn hơn nhiều so với giá trị tới hạn,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Kiểm định Egger cho kết quả</w:t>
      </w:r>
      <w:r>
        <w:t xml:space="preserve"> </w:t>
      </w:r>
      <m:oMath>
        <m:r>
          <m:t>p</m:t>
        </m:r>
        <m:r>
          <m:rPr>
            <m:sty m:val="p"/>
          </m:rPr>
          <m:t>=</m:t>
        </m:r>
        <m:r>
          <m:rPr>
            <m:sty m:val="p"/>
          </m:rPr>
          <m:t>,</m:t>
        </m:r>
        <m:r>
          <m:t>31</m:t>
        </m:r>
      </m:oMath>
      <w:r>
        <w:t xml:space="preserve"> </w:t>
      </w:r>
      <w:r>
        <w:t xml:space="preserve">(không có ý nghĩa thống kê), tức không có bằng chứng về publication bias trong tập hợp 235 nghiên cứu. Phân tích trim-and-fill điều chỉnh ước lượng hiệu ứng từ</w:t>
      </w:r>
      <w:r>
        <w:t xml:space="preserve"> </w:t>
      </w:r>
      <m:oMath>
        <m:r>
          <m:t>r</m:t>
        </m:r>
        <m:r>
          <m:rPr>
            <m:sty m:val="p"/>
          </m:rPr>
          <m:t>=</m:t>
        </m:r>
        <m:r>
          <m:t>0</m:t>
        </m:r>
        <m:r>
          <m:rPr>
            <m:sty m:val="p"/>
          </m:rPr>
          <m:t>,</m:t>
        </m:r>
        <m:r>
          <m:t>075</m:t>
        </m:r>
      </m:oMath>
      <w:r>
        <w:t xml:space="preserve"> </w:t>
      </w:r>
      <w:r>
        <w:t xml:space="preserve">xuống</w:t>
      </w:r>
      <w:r>
        <w:t xml:space="preserve"> </w:t>
      </w:r>
      <m:oMath>
        <m:r>
          <m:t>r</m:t>
        </m:r>
        <m:r>
          <m:rPr>
            <m:sty m:val="p"/>
          </m:rPr>
          <m:t>=</m:t>
        </m:r>
        <m:r>
          <m:t>0</m:t>
        </m:r>
        <m:r>
          <m:rPr>
            <m:sty m:val="p"/>
          </m:rPr>
          <m:t>,</m:t>
        </m:r>
        <m:r>
          <m:t>068</m:t>
        </m:r>
      </m:oMath>
      <w:r>
        <w:t xml:space="preserve"> </w:t>
      </w:r>
      <w:r>
        <w:t xml:space="preserve">— mức điều chỉnh nhỏ (chưa đến 10%) và không làm thay đổi bất kỳ kết luận nào về chiều hướng hay ý nghĩa của quan hệ tổng hợp.</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47"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5"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127</m:t>
        </m:r>
        <m:r>
          <m:rPr>
            <m:sty m:val="p"/>
          </m:rPr>
          <m:t>,</m:t>
        </m:r>
        <m:r>
          <m:t>77</m:t>
        </m:r>
      </m:oMath>
      <w:r>
        <w:t xml:space="preserve">). Hai nguồn bằng chứng độc lập — meta-analytic và primary empirical — cùng chỉ ra gradient ICRV, tạo ra independent confirmation có giá trị.</w:t>
      </w:r>
    </w:p>
    <w:bookmarkEnd w:id="45"/>
    <w:bookmarkStart w:id="46"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6"/>
    <w:bookmarkEnd w:id="47"/>
    <w:bookmarkStart w:id="51" w:name="X148edf673f29f3cdc512225d99b03a9e67e1c42"/>
    <w:p>
      <w:pPr>
        <w:pStyle w:val="Heading2"/>
      </w:pPr>
      <w:r>
        <w:t xml:space="preserve">4.7 Kết quả trường hợp biên SIDS — Các nền kinh tế đảo nhỏ đang phát triển (P8)</w:t>
      </w:r>
    </w:p>
    <w:bookmarkStart w:id="48"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8"/>
    <w:bookmarkStart w:id="49"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9"/>
    <w:bookmarkStart w:id="50"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0"/>
    <w:bookmarkEnd w:id="51"/>
    <w:bookmarkStart w:id="52"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một phần: chỉ có ý nghĩa tại Singapore và nhóm Advanced trong P7; null tại Việt Nam và Frontier/SIDS</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127</m:t>
              </m:r>
              <m:r>
                <m:rPr>
                  <m:sty m:val="p"/>
                </m:rPr>
                <m:t>,</m:t>
              </m:r>
              <m:sSup>
                <m:e>
                  <m:r>
                    <m:t>77</m:t>
                  </m:r>
                </m:e>
                <m:sup>
                  <m:r>
                    <m:rPr>
                      <m:sty m:val="p"/>
                    </m:rPr>
                    <m:t>*</m:t>
                  </m:r>
                  <m:r>
                    <m:rPr>
                      <m:sty m:val="p"/>
                    </m:rPr>
                    <m:t>*</m:t>
                  </m:r>
                  <m:r>
                    <m:rPr>
                      <m:sty m:val="p"/>
                    </m:rPr>
                    <m:t>*</m:t>
                  </m:r>
                </m:sup>
              </m:sSup>
            </m:oMath>
            <w:r>
              <w:t xml:space="preserve"> </w:t>
            </w:r>
            <w:r>
              <w:t xml:space="preserve">từ meta (P6)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2"/>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Hsieh, C.-T., &amp; Klenow, P. J. (2009). Misallocation and manufacturing TFP in China and India.</w:t>
      </w:r>
      <w:r>
        <w:t xml:space="preserve"> </w:t>
      </w:r>
      <w:r>
        <w:rPr>
          <w:iCs/>
          <w:i/>
        </w:rPr>
        <w:t xml:space="preserve">Quarterly Journal of Economics</w:t>
      </w:r>
      <w:r>
        <w:t xml:space="preserve">, 124(4),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w:t>
      </w:r>
      <w:r>
        <w:t xml:space="preserve">, 72(1),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3">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r>
        <w:pict>
          <v:rect style="width:0;height:1.5pt" o:hralign="center" o:hrstd="t" o:hr="t"/>
        </w:pict>
      </w:r>
    </w:p>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2026-05-15T15:32:13Z</dcterms:created>
  <dcterms:modified xsi:type="dcterms:W3CDTF">2026-05-15T15:32:13Z</dcterms:modified>
</cp:coreProperties>
</file>

<file path=docProps/custom.xml><?xml version="1.0" encoding="utf-8"?>
<Properties xmlns="http://schemas.openxmlformats.org/officeDocument/2006/custom-properties" xmlns:vt="http://schemas.openxmlformats.org/officeDocument/2006/docPropsVTypes"/>
</file>