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229.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bằng chứng thăm dò gợi ý quan hệ I–P có thể chuyển sang âm đơn điệu không có điểm uốn, một điều kiện biên lý thuyết được luận án đặt tên là</w:t>
      </w:r>
      <w:r>
        <w:t xml:space="preserve"> </w:t>
      </w:r>
      <w:r>
        <w:rPr>
          <w:bCs/>
          <w:b/>
        </w:rPr>
        <w:t xml:space="preserve">gánh nặng quốc tế hóa bắt buộc (Forced Internationalization Penalty, FIP)</w:t>
      </w:r>
      <w:r>
        <w:t xml:space="preserve"> </w:t>
      </w:r>
      <w:r>
        <w:t xml:space="preserve">(ước lượng thực nghiệm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quốc tế hóa và hiệu quả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gradient ICRV từ nhóm tiên tiến đến nhóm đảo nhỏ, kiểm định đồng thời H1 đến H6 với hiệu ứng cố định nền kinh tế và năm. Điểm uốn hiệu chỉnh năng lực của P7 là 43,6%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gradient.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quốc tế hóa và hiệu quả âm đơn điệu (FIP).</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7"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5"/>
    <w:bookmarkStart w:id="226"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6"/>
    <w:bookmarkEnd w:id="227"/>
    <w:bookmarkStart w:id="239" w:name="X42f69945b56833cca239d45dc5864a7be6f74d7"/>
    <w:p>
      <w:pPr>
        <w:pStyle w:val="Heading2"/>
      </w:pPr>
      <w:r>
        <w:t xml:space="preserve">4.7 Kết quả trường hợp biên SIDS: Các nền kinh tế đảo nhỏ đang phát triển (P8)</w:t>
      </w:r>
    </w:p>
    <w:bookmarkStart w:id="228"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Mẫu phân tích, gồm các quan sát có đủ giá trị về năng suất lao động, cường độ xuất khẩu và tuổi doanh nghiệp, có tổng</w:t>
      </w:r>
      <w:r>
        <w:t xml:space="preserve"> </w:t>
      </w:r>
      <m:oMath>
        <m:r>
          <m:t>N</m:t>
        </m:r>
        <m:r>
          <m:rPr>
            <m:sty m:val="p"/>
          </m:rPr>
          <m:t>=</m:t>
        </m:r>
        <m:r>
          <m:t>959</m:t>
        </m:r>
      </m:oMath>
      <w:r>
        <w:t xml:space="preserve"> </w:t>
      </w:r>
      <w:r>
        <w:t xml:space="preserve">doanh nghiệp, trong đó chỉ 132 doanh nghiệp (13,8% mẫu) có xuất khẩu với cường độ dương. Cường độ xuất khẩu trung bình rất thấp, ở mức 0,048 (tức 4,8%),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8"/>
    <w:bookmarkStart w:id="232" w:name="X9a84857a8704b0f91f95445b9b5b9e541c8f748"/>
    <w:p>
      <w:pPr>
        <w:pStyle w:val="Heading3"/>
      </w:pPr>
      <w:r>
        <w:t xml:space="preserve">4.7.2 Tan rã chữ U ngược và đảo chiều thành chữ U xuôi có điều kiện năng lực</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tám nền kinh tế đảo nhỏ (gồm Timor-Leste;</w:t>
      </w:r>
      <w:r>
        <w:t xml:space="preserve"> </w:t>
      </w:r>
      <m:oMath>
        <m:r>
          <m:t>N</m:t>
        </m:r>
        <m:r>
          <m:rPr>
            <m:sty m:val="p"/>
          </m:rPr>
          <m:t>=</m:t>
        </m:r>
        <m:r>
          <m:t>1.916</m:t>
        </m:r>
      </m:oMath>
      <w:r>
        <w:t xml:space="preserve"> </w:t>
      </w:r>
      <w:r>
        <w:t xml:space="preserve">doanh nghiệp, tám cụm quốc gia),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553</m:t>
        </m:r>
      </m:oMath>
      <w:r>
        <w:t xml:space="preserve"> </w:t>
      </w:r>
      <w:r>
        <w:t xml:space="preserve">(</w:t>
      </w:r>
      <m:oMath>
        <m:sSub>
          <m:e>
            <m:r>
              <m:t>p</m:t>
            </m:r>
          </m:e>
          <m:sub>
            <m:r>
              <m:rPr>
                <m:nor/>
                <m:sty m:val="p"/>
              </m:rPr>
              <m:t>wild</m:t>
            </m:r>
          </m:sub>
        </m:sSub>
        <m:r>
          <m:rPr>
            <m:sty m:val="p"/>
          </m:rPr>
          <m:t>=</m:t>
        </m:r>
        <m:r>
          <m:rPr>
            <m:sty m:val="p"/>
          </m:rPr>
          <m:t>,</m:t>
        </m:r>
        <m:r>
          <m:t>21</m:t>
        </m:r>
      </m:oMath>
      <w:r>
        <w:t xml:space="preserve">) và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161</m:t>
        </m:r>
      </m:oMath>
      <w:r>
        <w:t xml:space="preserve"> </w:t>
      </w:r>
      <w:r>
        <w:t xml:space="preserve">(</w:t>
      </w:r>
      <m:oMath>
        <m:sSub>
          <m:e>
            <m:r>
              <m:t>p</m:t>
            </m:r>
          </m:e>
          <m:sub>
            <m:r>
              <m:rPr>
                <m:nor/>
                <m:sty m:val="p"/>
              </m:rPr>
              <m:t>wild</m:t>
            </m:r>
          </m:sub>
        </m:sSub>
        <m:r>
          <m:rPr>
            <m:sty m:val="p"/>
          </m:rPr>
          <m:t>=</m:t>
        </m:r>
        <m:r>
          <m:rPr>
            <m:sty m:val="p"/>
          </m:rPr>
          <m:t>,</m:t>
        </m:r>
        <m:r>
          <m:t>25</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Hơn nữa, khi giữ cố định năng lực doanh nghiệp (mô hình M3), quan hệ — nếu có dạng — lại</w:t>
      </w:r>
      <w:r>
        <w:t xml:space="preserve"> </w:t>
      </w:r>
      <w:r>
        <w:rPr>
          <w:bCs/>
          <w:b/>
        </w:rPr>
        <w:t xml:space="preserve">lõm (chữ U xuôi) chứ không lồi</w:t>
      </w:r>
      <w:r>
        <w:t xml:space="preserve">:</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844</m:t>
        </m:r>
      </m:oMath>
      <w:r>
        <w:t xml:space="preserve"> </w:t>
      </w:r>
      <w:r>
        <w:t xml:space="preserve">(</w:t>
      </w:r>
      <m:oMath>
        <m:sSub>
          <m:e>
            <m:r>
              <m:t>p</m:t>
            </m:r>
          </m:e>
          <m:sub>
            <m:r>
              <m:rPr>
                <m:nor/>
                <m:sty m:val="p"/>
              </m:rPr>
              <m:t>wild</m:t>
            </m:r>
          </m:sub>
        </m:sSub>
        <m:r>
          <m:rPr>
            <m:sty m:val="p"/>
          </m:rPr>
          <m:t>=</m:t>
        </m:r>
        <m:r>
          <m:rPr>
            <m:sty m:val="p"/>
          </m:rPr>
          <m:t>,</m:t>
        </m:r>
        <m:r>
          <m:t>07</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860</m:t>
        </m:r>
      </m:oMath>
      <w:r>
        <w:t xml:space="preserve">. Hàm ý là một</w:t>
      </w:r>
      <w:r>
        <w:t xml:space="preserve"> </w:t>
      </w:r>
      <w:r>
        <w:rPr>
          <w:bCs/>
          <w:b/>
        </w:rPr>
        <w:t xml:space="preserve">vùng phạt năng suất trong dải cường độ xuất khẩu thấp đến trung bình</w:t>
      </w:r>
      <w:r>
        <w:t xml:space="preserve">, đúng vùng mà gần như toàn bộ doanh nghiệp đảo nhỏ hoạt động, và chỉ đảo chiều ở cường độ rất cao hiếm gặp. Đây là</w:t>
      </w:r>
      <w:r>
        <w:t xml:space="preserve"> </w:t>
      </w:r>
      <w:r>
        <w:rPr>
          <w:bCs/>
          <w:b/>
        </w:rPr>
        <w:t xml:space="preserve">ảnh phản chiếu</w:t>
      </w:r>
      <w:r>
        <w:t xml:space="preserve"> </w:t>
      </w:r>
      <w:r>
        <w:t xml:space="preserve">của chữ U ngược lục địa, và là chữ ký thực nghiệm nhất quán với cơ chế hình phạt quốc tế hóa cưỡng bức (FIP): phần lớn doanh nghiệp SIDS nằm trên nhánh đi xuống.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141</m:t>
        </m:r>
      </m:oMath>
      <w:r>
        <w:t xml:space="preserve">,</w:t>
      </w:r>
      <w:r>
        <w:t xml:space="preserve"> </w:t>
      </w:r>
      <m:oMath>
        <m:sSub>
          <m:e>
            <m:r>
              <m:t>p</m:t>
            </m:r>
          </m:e>
          <m:sub>
            <m:r>
              <m:rPr>
                <m:nor/>
                <m:sty m:val="p"/>
              </m:rPr>
              <m:t>wild</m:t>
            </m:r>
          </m:sub>
        </m:sSub>
        <m:r>
          <m:rPr>
            <m:sty m:val="p"/>
          </m:rPr>
          <m:t>=</m:t>
        </m:r>
        <m:r>
          <m:rPr>
            <m:sty m:val="p"/>
          </m:rPr>
          <m:t>,</m:t>
        </m:r>
        <m:r>
          <m:t>04</m:t>
        </m:r>
      </m:oMath>
      <w:r>
        <w:t xml:space="preserve">) nhưng không khôi phục dạng chữ U ngược.</w:t>
      </w:r>
    </w:p>
    <w:p>
      <w:pPr>
        <w:pStyle w:val="CaptionedFigure"/>
      </w:pPr>
      <w:r>
        <w:drawing>
          <wp:inline>
            <wp:extent cx="5753100" cy="2594907"/>
            <wp:effectExtent b="0" l="0" r="0" t="0"/>
            <wp:docPr descr="Hình 4.7.1. Chữ U ngược đảo chiều ở biên cực đoan: lục địa (∩, chế độ chuyển đổi) so với Pacific SIDS (∪, có điều kiện năng lực). Phần lớn doanh nghiệp đảo nhỏ nằm trên nhánh đi xuống của chữ U xuôi (vùng phạt). Nguồn: ước lượng của tác giả từ WBES." title="" id="230" name="Picture"/>
            <a:graphic>
              <a:graphicData uri="http://schemas.openxmlformats.org/drawingml/2006/picture">
                <pic:pic>
                  <pic:nvPicPr>
                    <pic:cNvPr descr="figures/fig_4_7_1_sids_inversion.png" id="231" name="Picture"/>
                    <pic:cNvPicPr>
                      <a:picLocks noChangeArrowheads="1" noChangeAspect="1"/>
                    </pic:cNvPicPr>
                  </pic:nvPicPr>
                  <pic:blipFill>
                    <a:blip r:embed="rId229"/>
                    <a:stretch>
                      <a:fillRect/>
                    </a:stretch>
                  </pic:blipFill>
                  <pic:spPr bwMode="auto">
                    <a:xfrm>
                      <a:off x="0" y="0"/>
                      <a:ext cx="5753100" cy="2594907"/>
                    </a:xfrm>
                    <a:prstGeom prst="rect">
                      <a:avLst/>
                    </a:prstGeom>
                    <a:noFill/>
                    <a:ln w="9525">
                      <a:noFill/>
                      <a:headEnd/>
                      <a:tailEnd/>
                    </a:ln>
                  </pic:spPr>
                </pic:pic>
              </a:graphicData>
            </a:graphic>
          </wp:inline>
        </w:drawing>
      </w:r>
    </w:p>
    <w:p>
      <w:pPr>
        <w:pStyle w:val="ImageCaption"/>
      </w:pPr>
      <w:r>
        <w:t xml:space="preserve">Hình 4.7.1. Chữ U ngược đảo chiều ở biên cực đoan: lục địa (∩, chế độ chuyển đổi) so với Pacific SIDS (∪, có điều kiện năng lực). Phần lớn doanh nghiệp đảo nhỏ nằm trên nhánh đi xuống của chữ U xuôi (vùng phạt).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chữ U ngược cùng xu hướng đảo chiều thành chữ U xuôi có điều kiện</w:t>
      </w:r>
      <w:r>
        <w:t xml:space="preserve">.</w:t>
      </w:r>
    </w:p>
    <w:bookmarkEnd w:id="232"/>
    <w:bookmarkStart w:id="233"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3"/>
    <w:bookmarkStart w:id="234"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4"/>
    <w:bookmarkStart w:id="235"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5"/>
    <w:bookmarkStart w:id="236"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6"/>
    <w:bookmarkStart w:id="237"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7"/>
    <w:bookmarkStart w:id="238"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8"/>
    <w:bookmarkEnd w:id="239"/>
    <w:bookmarkStart w:id="24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0"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0"/>
    <w:bookmarkStart w:id="241"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1"/>
    <w:bookmarkStart w:id="242"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2"/>
    <w:bookmarkStart w:id="243"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3"/>
    <w:bookmarkStart w:id="244"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4"/>
    <w:bookmarkStart w:id="245"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5"/>
    <w:bookmarkStart w:id="246"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6"/>
    <w:bookmarkStart w:id="247"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7"/>
    <w:bookmarkEnd w:id="248"/>
    <w:bookmarkStart w:id="25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49"/>
    <w:bookmarkStart w:id="25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0"/>
    <w:bookmarkStart w:id="25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1"/>
    <w:bookmarkEnd w:id="252"/>
    <w:bookmarkStart w:id="25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3"/>
    <w:bookmarkStart w:id="25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quan hệ âm đơn điệu tại các nền đảo nhỏ (P8, FIP),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4"/>
    <w:bookmarkStart w:id="25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5"/>
    <w:bookmarkStart w:id="256" w:name="chương-5-kết-luận-và-đề-xuất"/>
    <w:p>
      <w:pPr>
        <w:pStyle w:val="Heading1"/>
      </w:pPr>
      <w:r>
        <w:t xml:space="preserve">CHƯƠNG 5: KẾT LUẬN VÀ ĐỀ XUẤT</w:t>
      </w:r>
    </w:p>
    <w:bookmarkEnd w:id="256"/>
    <w:p>
      <w:r>
        <w:pict>
          <v:rect style="width:0;height:1.5pt" o:hralign="center" o:hrstd="t" o:hr="t"/>
        </w:pict>
      </w:r>
    </w:p>
    <w:bookmarkStart w:id="257"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7"/>
    <w:bookmarkStart w:id="265" w:name="Xff8cef3ed320f9cf6f3fba4ff558bfed3af19c6"/>
    <w:p>
      <w:pPr>
        <w:pStyle w:val="Heading2"/>
      </w:pPr>
      <w:r>
        <w:t xml:space="preserve">5.1 Bàn luận kết quả theo khung lý thuyết CDCM</w:t>
      </w:r>
    </w:p>
    <w:bookmarkStart w:id="258"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8"/>
    <w:bookmarkStart w:id="259"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9"/>
    <w:bookmarkStart w:id="260"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0"/>
    <w:bookmarkStart w:id="261"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61"/>
    <w:bookmarkStart w:id="262"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tài liệu về quan hệ quốc tế hóa và hiệu quả.</w:t>
      </w:r>
    </w:p>
    <w:p>
      <w:r>
        <w:pict>
          <v:rect style="width:0;height:1.5pt" o:hralign="center" o:hrstd="t" o:hr="t"/>
        </w:pict>
      </w:r>
    </w:p>
    <w:bookmarkEnd w:id="262"/>
    <w:bookmarkStart w:id="263"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3"/>
    <w:bookmarkStart w:id="264"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bằng chứng thăm dò gợi ý quan hệ có thể đảo sang âm đơn điệu, gánh nặng quốc tế hóa bắt buộc (hệ số −1,339, p &lt; 0,001 trên phiên bản dữ liệu gốc của P8; mang tính thăm dò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4"/>
    <w:bookmarkEnd w:id="265"/>
    <w:bookmarkStart w:id="273" w:name="so-sánh-với-nghiên-cứu-trước-đây"/>
    <w:p>
      <w:pPr>
        <w:pStyle w:val="Heading2"/>
      </w:pPr>
      <w:r>
        <w:t xml:space="preserve">5.2 So sánh với nghiên cứu trước đây</w:t>
      </w:r>
    </w:p>
    <w:bookmarkStart w:id="266"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6"/>
    <w:bookmarkStart w:id="26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7"/>
    <w:bookmarkStart w:id="268"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8"/>
    <w:bookmarkStart w:id="269"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9"/>
    <w:bookmarkStart w:id="270"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0"/>
    <w:bookmarkStart w:id="271"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1"/>
    <w:bookmarkStart w:id="272"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2"/>
    <w:bookmarkEnd w:id="273"/>
    <w:bookmarkStart w:id="282" w:name="đóng-góp-lý-thuyết-1"/>
    <w:p>
      <w:pPr>
        <w:pStyle w:val="Heading2"/>
      </w:pPr>
      <w:r>
        <w:t xml:space="preserve">5.3 Đóng góp lý thuyết</w:t>
      </w:r>
    </w:p>
    <w:bookmarkStart w:id="27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4"/>
    <w:bookmarkStart w:id="27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5"/>
    <w:bookmarkStart w:id="27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6"/>
    <w:bookmarkStart w:id="277"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7"/>
    <w:bookmarkStart w:id="27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8"/>
    <w:bookmarkStart w:id="279"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9"/>
    <w:bookmarkStart w:id="280"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0"/>
    <w:bookmarkStart w:id="281"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1"/>
    <w:bookmarkEnd w:id="282"/>
    <w:bookmarkStart w:id="291"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3"/>
    <w:bookmarkStart w:id="28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4"/>
    <w:bookmarkStart w:id="285"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5"/>
    <w:bookmarkStart w:id="286"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6"/>
    <w:bookmarkStart w:id="287"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7"/>
    <w:bookmarkStart w:id="288"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8"/>
    <w:bookmarkStart w:id="289"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9"/>
    <w:bookmarkStart w:id="290"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0"/>
    <w:bookmarkEnd w:id="291"/>
    <w:bookmarkStart w:id="301" w:name="hạn-chế-và-hướng-nghiên-cứu-tương-lai"/>
    <w:p>
      <w:pPr>
        <w:pStyle w:val="Heading2"/>
      </w:pPr>
      <w:r>
        <w:t xml:space="preserve">5.5 Hạn chế và hướng nghiên cứu tương lai</w:t>
      </w:r>
    </w:p>
    <w:bookmarkStart w:id="29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2"/>
    <w:bookmarkStart w:id="293"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3"/>
    <w:bookmarkStart w:id="294"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4"/>
    <w:bookmarkStart w:id="295"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5"/>
    <w:bookmarkStart w:id="296"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6"/>
    <w:bookmarkStart w:id="297"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7"/>
    <w:bookmarkStart w:id="298"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8"/>
    <w:bookmarkStart w:id="299"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9"/>
    <w:bookmarkStart w:id="30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0"/>
    <w:bookmarkEnd w:id="301"/>
    <w:bookmarkStart w:id="306" w:name="kết-luận"/>
    <w:p>
      <w:pPr>
        <w:pStyle w:val="Heading2"/>
      </w:pPr>
      <w:r>
        <w:t xml:space="preserve">5.6 Kết luận</w:t>
      </w:r>
    </w:p>
    <w:bookmarkStart w:id="302"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xác nhận hình phạt quốc tế hóa cưỡng bức, quan hệ âm đơn điệu không có điểm uốn.</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2"/>
    <w:bookmarkStart w:id="30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303"/>
    <w:bookmarkStart w:id="30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4"/>
    <w:bookmarkStart w:id="30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5"/>
    <w:bookmarkEnd w:id="306"/>
    <w:bookmarkStart w:id="307"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7"/>
    <w:bookmarkStart w:id="318"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8"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8"/>
    <w:bookmarkStart w:id="309"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9"/>
    <w:bookmarkStart w:id="310"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0"/>
    <w:bookmarkStart w:id="311"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1"/>
    <w:bookmarkStart w:id="312"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2"/>
    <w:bookmarkStart w:id="313"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3"/>
    <w:bookmarkStart w:id="314"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4"/>
    <w:bookmarkStart w:id="315"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5"/>
    <w:bookmarkStart w:id="316"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6"/>
    <w:bookmarkStart w:id="317"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7"/>
    <w:bookmarkEnd w:id="31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229" Target="media/rId229.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2026-06-19T09:06:37Z</dcterms:created>
  <dcterms:modified xsi:type="dcterms:W3CDTF">2026-06-19T09:06:37Z</dcterms:modified>
</cp:coreProperties>
</file>

<file path=docProps/custom.xml><?xml version="1.0" encoding="utf-8"?>
<Properties xmlns="http://schemas.openxmlformats.org/officeDocument/2006/custom-properties" xmlns:vt="http://schemas.openxmlformats.org/officeDocument/2006/docPropsVTypes"/>
</file>