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uthor-title-page"/>
    <w:p>
      <w:pPr>
        <w:pStyle w:val="Heading1"/>
      </w:pPr>
      <w:r>
        <w:t xml:space="preserve">Author Title Page</w:t>
      </w:r>
    </w:p>
    <w:p>
      <w:pPr>
        <w:pStyle w:val="FirstParagraph"/>
      </w:pPr>
      <w:r>
        <w:rPr>
          <w:iCs/>
          <w:i/>
        </w:rPr>
        <w:t xml:space="preserve">(Submitted separately from the blinded manuscript — not for review)</w:t>
      </w:r>
    </w:p>
    <w:bookmarkStart w:id="20" w:name="manuscript-title"/>
    <w:p>
      <w:pPr>
        <w:pStyle w:val="Heading2"/>
      </w:pPr>
      <w:r>
        <w:t xml:space="preserve">Manuscript Title</w:t>
      </w:r>
    </w:p>
    <w:p>
      <w:pPr>
        <w:pStyle w:val="FirstParagraph"/>
      </w:pPr>
      <w:r>
        <w:rPr>
          <w:bCs/>
          <w:b/>
        </w:rPr>
        <w:t xml:space="preserve">Institutional Context, Digital Adoption, and the Internationalization–Performance Relationship: A Three-Level Meta-Analysis</w:t>
      </w:r>
    </w:p>
    <w:p>
      <w:pPr>
        <w:pStyle w:val="BodyText"/>
      </w:pPr>
      <w:r>
        <w:t xml:space="preserve">Target journal:</w:t>
      </w:r>
      <w:r>
        <w:t xml:space="preserve"> </w:t>
      </w:r>
      <w:r>
        <w:rPr>
          <w:iCs/>
          <w:i/>
        </w:rPr>
        <w:t xml:space="preserve">Management International Review</w:t>
      </w:r>
      <w:r>
        <w:t xml:space="preserve"> </w:t>
      </w:r>
      <w:r>
        <w:t xml:space="preserve">(Springer Gabler; Scopus Q1; ABS-3; FT-50 adjacent)</w:t>
      </w:r>
      <w:r>
        <w:t xml:space="preserve"> </w:t>
      </w:r>
      <w:r>
        <w:t xml:space="preserve">Submission: Q3 2026</w: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Thùy Hương (Do Thuy Huong)</w:t>
      </w:r>
      <w:r>
        <w:t xml:space="preserve"> </w:t>
      </w:r>
      <w:r>
        <w:t xml:space="preserve">Position: PhD Candidate</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thuyhuongctu@gmail.com</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7" w:name="acknowledgements"/>
    <w:p>
      <w:pPr>
        <w:pStyle w:val="Heading2"/>
      </w:pPr>
      <w:r>
        <w:t xml:space="preserve">Acknowledgements</w:t>
      </w:r>
    </w:p>
    <w:p>
      <w:pPr>
        <w:pStyle w:val="FirstParagraph"/>
      </w:pPr>
      <w:r>
        <w:t xml:space="preserve">We thank the research community whose published primary studies made this meta-analysis possible, and the Web of Science and Scopus databases for access to the indexed literature. The ICBEF 2025 conference provided the venue for the baseline analysis upon which the present study builds. The findings, interpretations, and conclusions expressed in this article are those of the authors alone.</w:t>
      </w:r>
    </w:p>
    <w:bookmarkEnd w:id="27"/>
    <w:bookmarkStart w:id="28" w:name="conflict-of-interest"/>
    <w:p>
      <w:pPr>
        <w:pStyle w:val="Heading2"/>
      </w:pPr>
      <w:r>
        <w:t xml:space="preserve">Conflict of Interest</w:t>
      </w:r>
    </w:p>
    <w:p>
      <w:pPr>
        <w:pStyle w:val="FirstParagraph"/>
      </w:pPr>
      <w:r>
        <w:t xml:space="preserve">The authors declare no conflict of interest.</w:t>
      </w:r>
    </w:p>
    <w:bookmarkEnd w:id="28"/>
    <w:bookmarkStart w:id="2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29"/>
    <w:bookmarkStart w:id="31" w:name="data-availability-statement"/>
    <w:p>
      <w:pPr>
        <w:pStyle w:val="Heading2"/>
      </w:pPr>
      <w:r>
        <w:t xml:space="preserve">Data Availability Statement</w:t>
      </w:r>
    </w:p>
    <w:p>
      <w:pPr>
        <w:pStyle w:val="FirstParagraph"/>
      </w:pPr>
      <w:r>
        <w:t xml:space="preserve">The coded study database, R replication scripts (</w:t>
      </w:r>
      <w:r>
        <w:rPr>
          <w:iCs/>
          <w:i/>
        </w:rPr>
        <w:t xml:space="preserve">metafor</w:t>
      </w:r>
      <w:r>
        <w:t xml:space="preserve">) with an independent Python cross-check, the PRISMA flow diagram, and the extraction codebook are openly available via the project's Open Science Framework (OSF) record:</w:t>
      </w:r>
      <w:r>
        <w:t xml:space="preserve"> </w:t>
      </w:r>
      <w:hyperlink r:id="rId30">
        <w:r>
          <w:rPr>
            <w:rStyle w:val="Hyperlink"/>
          </w:rPr>
          <w:t xml:space="preserve">https://osf.io/z37kn</w:t>
        </w:r>
      </w:hyperlink>
      <w:r>
        <w:t xml:space="preserve"> </w:t>
      </w:r>
      <w:r>
        <w:t xml:space="preserve">(DOI: 10.17605/OSF.IO/Z37KN). The OSF pre-registration was lodged prior to effect-size extraction. Per MIR's open-science encouragement, the extended methodological appendices (PRISMA 2020 trace; full 7-moderator coding protocol; MetaEssentials-versus-</w:t>
      </w:r>
      <w:r>
        <w:rPr>
          <w:iCs/>
          <w:i/>
        </w:rPr>
        <w:t xml:space="preserve">metafor</w:t>
      </w:r>
      <w:r>
        <w:t xml:space="preserve"> </w:t>
      </w:r>
      <w:r>
        <w:t xml:space="preserve">consistency check) are deposited on OSF as supplementary materials accompanying this submission.</w:t>
      </w:r>
    </w:p>
    <w:bookmarkEnd w:id="31"/>
    <w:bookmarkStart w:id="32" w:name="ethics-statement"/>
    <w:p>
      <w:pPr>
        <w:pStyle w:val="Heading2"/>
      </w:pPr>
      <w:r>
        <w:t xml:space="preserve">Ethics Statement</w:t>
      </w:r>
    </w:p>
    <w:p>
      <w:pPr>
        <w:pStyle w:val="FirstParagraph"/>
      </w:pPr>
      <w:r>
        <w:t xml:space="preserve">This research is a meta-analysis of previously published, anonymized aggregate effect sizes from secondary sources. No primary data collection from human or animal subjects was conducted; institutional review board approval was therefore not required.</w:t>
      </w:r>
    </w:p>
    <w:bookmarkEnd w:id="32"/>
    <w:bookmarkStart w:id="33"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documentation. All conceptual framing, hypothesis development, systematic search design, effect-size coding, meta-analytic estimation, results interpretation, and final wording were authored by the human authors, who take full responsibility for the content of the publication.</w:t>
      </w:r>
    </w:p>
    <w:bookmarkEnd w:id="33"/>
    <w:bookmarkStart w:id="34"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 (meta-analysis)</w:t>
            </w:r>
          </w:p>
        </w:tc>
      </w:tr>
      <w:tr>
        <w:tc>
          <w:tcPr/>
          <w:p>
            <w:pPr>
              <w:pStyle w:val="Compact"/>
              <w:jc w:val="left"/>
            </w:pPr>
            <w:r>
              <w:t xml:space="preserve">Main-text prose</w:t>
            </w:r>
          </w:p>
        </w:tc>
        <w:tc>
          <w:tcPr/>
          <w:p>
            <w:pPr>
              <w:pStyle w:val="Compact"/>
              <w:jc w:val="left"/>
            </w:pPr>
            <m:oMath>
              <m:r>
                <m:rPr>
                  <m:sty m:val="p"/>
                </m:rPr>
                <m:t>≈</m:t>
              </m:r>
            </m:oMath>
            <w:r>
              <w:t xml:space="preserve"> </w:t>
            </w:r>
            <w:r>
              <w:t xml:space="preserve">11,700 words</w:t>
            </w:r>
          </w:p>
        </w:tc>
      </w:tr>
      <w:tr>
        <w:tc>
          <w:tcPr/>
          <w:p>
            <w:pPr>
              <w:pStyle w:val="Compact"/>
              <w:jc w:val="left"/>
            </w:pPr>
            <w:r>
              <w:t xml:space="preserve">Emerald-equivalent total</w:t>
            </w:r>
          </w:p>
        </w:tc>
        <w:tc>
          <w:tcPr/>
          <w:p>
            <w:pPr>
              <w:pStyle w:val="Compact"/>
              <w:jc w:val="left"/>
            </w:pPr>
            <m:oMath>
              <m:r>
                <m:rPr>
                  <m:sty m:val="p"/>
                </m:rPr>
                <m:t>≈</m:t>
              </m:r>
            </m:oMath>
            <w:r>
              <w:t xml:space="preserve"> </w:t>
            </w:r>
            <w:r>
              <w:t xml:space="preserve">17,000 (body + refs + 9 tables × 280 + 6 figures × 280)</w:t>
            </w:r>
          </w:p>
        </w:tc>
      </w:tr>
      <w:tr>
        <w:tc>
          <w:tcPr/>
          <w:p>
            <w:pPr>
              <w:pStyle w:val="Compact"/>
              <w:jc w:val="left"/>
            </w:pPr>
            <w:r>
              <w:t xml:space="preserve">Submission-build target</w:t>
            </w:r>
          </w:p>
        </w:tc>
        <w:tc>
          <w:tcPr/>
          <w:p>
            <w:pPr>
              <w:pStyle w:val="Compact"/>
              <w:jc w:val="left"/>
            </w:pPr>
            <m:oMath>
              <m:r>
                <m:rPr>
                  <m:sty m:val="p"/>
                </m:rPr>
                <m:t>≈</m:t>
              </m:r>
            </m:oMath>
            <w:r>
              <w:t xml:space="preserve"> </w:t>
            </w:r>
            <w:r>
              <w:t xml:space="preserve">12,000 (MIR cap) — appendices + 3–4 tables → OSF supplementary</w:t>
            </w:r>
          </w:p>
        </w:tc>
      </w:tr>
      <w:tr>
        <w:tc>
          <w:tcPr/>
          <w:p>
            <w:pPr>
              <w:pStyle w:val="Compact"/>
              <w:jc w:val="left"/>
            </w:pPr>
            <w:r>
              <w:t xml:space="preserve">Studies (</w:t>
            </w:r>
            <w:r>
              <w:rPr>
                <w:iCs/>
                <w:i/>
              </w:rPr>
              <w:t xml:space="preserve">k</w:t>
            </w:r>
            <w:r>
              <w:t xml:space="preserve">)</w:t>
            </w:r>
          </w:p>
        </w:tc>
        <w:tc>
          <w:tcPr/>
          <w:p>
            <w:pPr>
              <w:pStyle w:val="Compact"/>
              <w:jc w:val="left"/>
            </w:pPr>
            <w:r>
              <w:t xml:space="preserve">238 (verified baseline corpus)</w:t>
            </w:r>
          </w:p>
        </w:tc>
      </w:tr>
      <w:tr>
        <w:tc>
          <w:tcPr/>
          <w:p>
            <w:pPr>
              <w:pStyle w:val="Compact"/>
              <w:jc w:val="left"/>
            </w:pPr>
            <w:r>
              <w:t xml:space="preserve">Effect sizes (</w:t>
            </w:r>
            <w:r>
              <w:rPr>
                <w:iCs/>
                <w:i/>
              </w:rPr>
              <w:t xml:space="preserve">K</w:t>
            </w:r>
            <w:r>
              <w:t xml:space="preserve">)</w:t>
            </w:r>
          </w:p>
        </w:tc>
        <w:tc>
          <w:tcPr/>
          <w:p>
            <w:pPr>
              <w:pStyle w:val="Compact"/>
              <w:jc w:val="left"/>
            </w:pPr>
            <w:r>
              <w:t xml:space="preserve">288</w:t>
            </w:r>
          </w:p>
        </w:tc>
      </w:tr>
      <w:tr>
        <w:tc>
          <w:tcPr/>
          <w:p>
            <w:pPr>
              <w:pStyle w:val="Compact"/>
              <w:jc w:val="left"/>
            </w:pPr>
            <w:r>
              <w:t xml:space="preserve">Economies</w:t>
            </w:r>
          </w:p>
        </w:tc>
        <w:tc>
          <w:tcPr/>
          <w:p>
            <w:pPr>
              <w:pStyle w:val="Compact"/>
              <w:jc w:val="left"/>
            </w:pPr>
            <w:r>
              <w:t xml:space="preserve">49</w:t>
            </w:r>
          </w:p>
        </w:tc>
      </w:tr>
      <w:tr>
        <w:tc>
          <w:tcPr/>
          <w:p>
            <w:pPr>
              <w:pStyle w:val="Compact"/>
              <w:jc w:val="left"/>
            </w:pPr>
            <w:r>
              <w:t xml:space="preserve">Tables (in-paper)</w:t>
            </w:r>
          </w:p>
        </w:tc>
        <w:tc>
          <w:tcPr/>
          <w:p>
            <w:pPr>
              <w:pStyle w:val="Compact"/>
              <w:jc w:val="left"/>
            </w:pPr>
            <w:r>
              <w:t xml:space="preserve">5–6 after OSF migration (currently 9)</w:t>
            </w:r>
          </w:p>
        </w:tc>
      </w:tr>
      <w:tr>
        <w:tc>
          <w:tcPr/>
          <w:p>
            <w:pPr>
              <w:pStyle w:val="Compact"/>
              <w:jc w:val="left"/>
            </w:pPr>
            <w:r>
              <w:t xml:space="preserve">Figures</w:t>
            </w:r>
          </w:p>
        </w:tc>
        <w:tc>
          <w:tcPr/>
          <w:p>
            <w:pPr>
              <w:pStyle w:val="Compact"/>
              <w:jc w:val="left"/>
            </w:pPr>
            <w:r>
              <w:t xml:space="preserve">6 (conceptual model; ICRV forest; DPL phase; leave-one-out sensitivity; funnel plot; year-distribution histogram)</w:t>
            </w:r>
          </w:p>
        </w:tc>
      </w:tr>
      <w:tr>
        <w:tc>
          <w:tcPr/>
          <w:p>
            <w:pPr>
              <w:pStyle w:val="Compact"/>
              <w:jc w:val="left"/>
            </w:pPr>
            <w:r>
              <w:t xml:space="preserve">Keywords</w:t>
            </w:r>
          </w:p>
        </w:tc>
        <w:tc>
          <w:tcPr/>
          <w:p>
            <w:pPr>
              <w:pStyle w:val="Compact"/>
              <w:jc w:val="left"/>
            </w:pPr>
            <w:r>
              <w:t xml:space="preserve">internationalization–performance; meta-analysis; three-level model; digital adoption; institutional context; publication bias</w:t>
            </w:r>
          </w:p>
        </w:tc>
      </w:tr>
      <w:tr>
        <w:tc>
          <w:tcPr/>
          <w:p>
            <w:pPr>
              <w:pStyle w:val="Compact"/>
              <w:jc w:val="left"/>
            </w:pPr>
            <w:r>
              <w:t xml:space="preserve">JEL codes</w:t>
            </w:r>
          </w:p>
        </w:tc>
        <w:tc>
          <w:tcPr/>
          <w:p>
            <w:pPr>
              <w:pStyle w:val="Compact"/>
              <w:jc w:val="left"/>
            </w:pPr>
            <w:r>
              <w:t xml:space="preserve">F23, O33, C83</w:t>
            </w:r>
          </w:p>
        </w:tc>
      </w:tr>
      <w:tr>
        <w:tc>
          <w:tcPr/>
          <w:p>
            <w:pPr>
              <w:pStyle w:val="Compact"/>
              <w:jc w:val="left"/>
            </w:pPr>
            <w:r>
              <w:t xml:space="preserve">Software</w:t>
            </w:r>
          </w:p>
        </w:tc>
        <w:tc>
          <w:tcPr/>
          <w:p>
            <w:pPr>
              <w:pStyle w:val="Compact"/>
              <w:jc w:val="left"/>
            </w:pPr>
            <w:r>
              <w:t xml:space="preserve">R (</w:t>
            </w:r>
            <w:r>
              <w:rPr>
                <w:iCs/>
                <w:i/>
              </w:rPr>
              <w:t xml:space="preserve">metafor</w:t>
            </w:r>
            <w:r>
              <w:t xml:space="preserve">); Python (numpy / scipy) independent verification</w:t>
            </w:r>
          </w:p>
        </w:tc>
      </w:tr>
      <w:tr>
        <w:tc>
          <w:tcPr/>
          <w:p>
            <w:pPr>
              <w:pStyle w:val="Compact"/>
              <w:jc w:val="left"/>
            </w:pPr>
            <w:r>
              <w:t xml:space="preserve">Pre-registration</w:t>
            </w:r>
          </w:p>
        </w:tc>
        <w:tc>
          <w:tcPr/>
          <w:p>
            <w:pPr>
              <w:pStyle w:val="Compact"/>
              <w:jc w:val="left"/>
            </w:pPr>
            <w:r>
              <w:t xml:space="preserve">OSF</w:t>
            </w:r>
            <w:r>
              <w:t xml:space="preserve"> </w:t>
            </w:r>
            <w:hyperlink r:id="rId30">
              <w:r>
                <w:rPr>
                  <w:rStyle w:val="Hyperlink"/>
                </w:rPr>
                <w:t xml:space="preserve">https://osf.io/z37kn</w:t>
              </w:r>
            </w:hyperlink>
            <w:r>
              <w:t xml:space="preserve"> </w:t>
            </w:r>
            <w:r>
              <w:t xml:space="preserve">(DOI: 10.17605/OSF.IO/Z37KN)</w:t>
            </w:r>
          </w:p>
        </w:tc>
      </w:tr>
      <w:tr>
        <w:tc>
          <w:tcPr/>
          <w:p>
            <w:pPr>
              <w:pStyle w:val="Compact"/>
              <w:jc w:val="left"/>
            </w:pPr>
            <w:r>
              <w:t xml:space="preserve">Reference style</w:t>
            </w:r>
          </w:p>
        </w:tc>
        <w:tc>
          <w:tcPr/>
          <w:p>
            <w:pPr>
              <w:pStyle w:val="Compact"/>
              <w:jc w:val="left"/>
            </w:pPr>
            <w:r>
              <w:t xml:space="preserve">APA 7 (MIR-compatible)</w:t>
            </w:r>
          </w:p>
        </w:tc>
      </w:tr>
    </w:tbl>
    <w:bookmarkEnd w:id="34"/>
    <w:bookmarkEnd w:id="3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3" Target="mailto:patu@ctu.edu.vn" TargetMode="External" /><Relationship Type="http://schemas.openxmlformats.org/officeDocument/2006/relationships/hyperlink" Id="rId21"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3" Target="mailto:patu@ctu.edu.vn" TargetMode="External" /><Relationship Type="http://schemas.openxmlformats.org/officeDocument/2006/relationships/hyperlink" Id="rId21"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2026-06-01T16:23:08Z</dcterms:created>
  <dcterms:modified xsi:type="dcterms:W3CDTF">2026-06-01T16:23:08Z</dcterms:modified>
</cp:coreProperties>
</file>

<file path=docProps/custom.xml><?xml version="1.0" encoding="utf-8"?>
<Properties xmlns="http://schemas.openxmlformats.org/officeDocument/2006/custom-properties" xmlns:vt="http://schemas.openxmlformats.org/officeDocument/2006/docPropsVTypes"/>
</file>