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The Export Intensity–Performance Relationship in Chinese Private Firms: A Threshold-Stability Perspective</w:t>
      </w:r>
    </w:p>
    <w:p>
      <w:pPr>
        <w:pStyle w:val="BodyText"/>
      </w:pPr>
      <w:r>
        <w:rPr>
          <w:iCs/>
          <w:i/>
        </w:rPr>
        <w:t xml:space="preserve">Target journal:</w:t>
      </w:r>
      <w:r>
        <w:t xml:space="preserve"> </w:t>
      </w:r>
      <w:r>
        <w:t xml:space="preserve">International Journal of Emerging Markets (IJOEM)</w:t>
      </w:r>
    </w:p>
    <w:p>
      <w:pPr>
        <w:pStyle w:val="BodyText"/>
      </w:pPr>
      <w:r>
        <w:rPr>
          <w:iCs/>
          <w:i/>
        </w:rPr>
        <w:t xml:space="preserve">Submission date:</w:t>
      </w:r>
      <w:r>
        <w:t xml:space="preserve"> </w:t>
      </w:r>
      <w:r>
        <w:t xml:space="preserve">10 May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School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thuyhuongctu@gmail.com</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School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Replication materials are available from the corresponding author upon reasonable request and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7,200 words</w:t>
            </w:r>
          </w:p>
        </w:tc>
      </w:tr>
      <w:tr>
        <w:tc>
          <w:tcPr/>
          <w:p>
            <w:pPr>
              <w:pStyle w:val="Compact"/>
              <w:jc w:val="left"/>
            </w:pPr>
            <w:r>
              <w:t xml:space="preserve">Tables</w:t>
            </w:r>
          </w:p>
        </w:tc>
        <w:tc>
          <w:tcPr/>
          <w:p>
            <w:pPr>
              <w:pStyle w:val="Compact"/>
              <w:jc w:val="left"/>
            </w:pPr>
            <w:r>
              <w:t xml:space="preserve">3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Keywords</w:t>
            </w:r>
          </w:p>
        </w:tc>
        <w:tc>
          <w:tcPr/>
          <w:p>
            <w:pPr>
              <w:pStyle w:val="Compact"/>
              <w:jc w:val="left"/>
            </w:pPr>
            <w:r>
              <w:t xml:space="preserve">export intensity; firm performance; technological capability; digital adoption; China; emerging markets</w:t>
            </w:r>
          </w:p>
        </w:tc>
      </w:tr>
      <w:tr>
        <w:tc>
          <w:tcPr/>
          <w:p>
            <w:pPr>
              <w:pStyle w:val="Compact"/>
              <w:jc w:val="left"/>
            </w:pPr>
            <w:r>
              <w:t xml:space="preserve">JEL codes</w:t>
            </w:r>
          </w:p>
        </w:tc>
        <w:tc>
          <w:tcPr/>
          <w:p>
            <w:pPr>
              <w:pStyle w:val="Compact"/>
              <w:jc w:val="left"/>
            </w:pPr>
            <w:r>
              <w:t xml:space="preserve">F23, O33, L25, O53, P31</w:t>
            </w:r>
          </w:p>
        </w:tc>
      </w:tr>
      <w:tr>
        <w:tc>
          <w:tcPr/>
          <w:p>
            <w:pPr>
              <w:pStyle w:val="Compact"/>
              <w:jc w:val="left"/>
            </w:pPr>
            <w:r>
              <w:t xml:space="preserve">Data source</w:t>
            </w:r>
          </w:p>
        </w:tc>
        <w:tc>
          <w:tcPr/>
          <w:p>
            <w:pPr>
              <w:pStyle w:val="Compact"/>
              <w:jc w:val="left"/>
            </w:pPr>
            <w:r>
              <w:t xml:space="preserve">World Bank Enterprise Surveys (China 2003, 2006, 2012, 2024)</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2026-06-01T16:23:08Z</dcterms:created>
  <dcterms:modified xsi:type="dcterms:W3CDTF">2026-06-01T16:23:08Z</dcterms:modified>
</cp:coreProperties>
</file>

<file path=docProps/custom.xml><?xml version="1.0" encoding="utf-8"?>
<Properties xmlns="http://schemas.openxmlformats.org/officeDocument/2006/custom-properties" xmlns:vt="http://schemas.openxmlformats.org/officeDocument/2006/docPropsVTypes"/>
</file>