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Internationalization and Firm Performance across 49 Asian and Pacific Economies: Institutional Regimes, Digital Capabilities, and Managerial Characteristics as Contingency Factors</w:t>
      </w:r>
    </w:p>
    <w:p>
      <w:pPr>
        <w:pStyle w:val="BodyText"/>
      </w:pPr>
      <w:r>
        <w:rPr>
          <w:iCs/>
          <w:i/>
        </w:rPr>
        <w:t xml:space="preserve">Target journal:</w:t>
      </w:r>
      <w:r>
        <w:t xml:space="preserve"> </w:t>
      </w:r>
      <w:r>
        <w:t xml:space="preserve">Journal of International Business Studies (JIBS)</w:t>
      </w:r>
    </w:p>
    <w:p>
      <w:pPr>
        <w:pStyle w:val="BodyText"/>
      </w:pPr>
      <w:r>
        <w:rPr>
          <w:iCs/>
          <w:i/>
        </w:rPr>
        <w:t xml:space="preserve">Submission date:</w:t>
      </w:r>
      <w:r>
        <w:t xml:space="preserve"> </w:t>
      </w:r>
      <w:r>
        <w:t xml:space="preserve">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School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thuyhuongctu@gmail.com</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across all Enterprise Survey waves used in this study. The original collectors of the data, the authorised distributors, and relevant funding agencies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(WBES)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The harmonised multi-economy panel used in this analysis covers 45 economies and 98 country-year waves (WBES 2003–2025). Replication materials and the harmonised dataset are available from the corresponding author upon reasonable request and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9,500 words</w:t>
            </w:r>
          </w:p>
        </w:tc>
      </w:tr>
      <w:tr>
        <w:tc>
          <w:tcPr/>
          <w:p>
            <w:pPr>
              <w:pStyle w:val="Compact"/>
              <w:jc w:val="left"/>
            </w:pPr>
            <w:r>
              <w:t xml:space="preserve">Tables</w:t>
            </w:r>
          </w:p>
        </w:tc>
        <w:tc>
          <w:tcPr/>
          <w:p>
            <w:pPr>
              <w:pStyle w:val="Compact"/>
              <w:jc w:val="left"/>
            </w:pPr>
            <w:r>
              <w:t xml:space="preserve">3 (Appendix A: variable definitions; model fit + turning points; key coefficients)</w:t>
            </w:r>
          </w:p>
        </w:tc>
      </w:tr>
      <w:tr>
        <w:tc>
          <w:tcPr/>
          <w:p>
            <w:pPr>
              <w:pStyle w:val="Compact"/>
              <w:jc w:val="left"/>
            </w:pPr>
            <w:r>
              <w:t xml:space="preserve">Figures</w:t>
            </w:r>
          </w:p>
        </w:tc>
        <w:tc>
          <w:tcPr/>
          <w:p>
            <w:pPr>
              <w:pStyle w:val="Compact"/>
              <w:jc w:val="left"/>
            </w:pPr>
            <w:r>
              <w:t xml:space="preserve">0 (results in tables only)</w:t>
            </w:r>
          </w:p>
        </w:tc>
      </w:tr>
      <w:tr>
        <w:tc>
          <w:tcPr/>
          <w:p>
            <w:pPr>
              <w:pStyle w:val="Compact"/>
              <w:jc w:val="left"/>
            </w:pPr>
            <w:r>
              <w:t xml:space="preserve">Keywords</w:t>
            </w:r>
          </w:p>
        </w:tc>
        <w:tc>
          <w:tcPr/>
          <w:p>
            <w:pPr>
              <w:pStyle w:val="Compact"/>
              <w:jc w:val="left"/>
            </w:pPr>
            <w:r>
              <w:t xml:space="preserve">internationalization–performance; inverted-U; institutional regime; digital adoption; ICRV; Asia-Pacific</w:t>
            </w:r>
          </w:p>
        </w:tc>
      </w:tr>
      <w:tr>
        <w:tc>
          <w:tcPr/>
          <w:p>
            <w:pPr>
              <w:pStyle w:val="Compact"/>
              <w:jc w:val="left"/>
            </w:pPr>
            <w:r>
              <w:t xml:space="preserve">JEL codes</w:t>
            </w:r>
          </w:p>
        </w:tc>
        <w:tc>
          <w:tcPr/>
          <w:p>
            <w:pPr>
              <w:pStyle w:val="Compact"/>
              <w:jc w:val="left"/>
            </w:pPr>
            <w:r>
              <w:t xml:space="preserve">F23, O33, L25, O53</w:t>
            </w:r>
          </w:p>
        </w:tc>
      </w:tr>
      <w:tr>
        <w:tc>
          <w:tcPr/>
          <w:p>
            <w:pPr>
              <w:pStyle w:val="Compact"/>
              <w:jc w:val="left"/>
            </w:pPr>
            <w:r>
              <w:t xml:space="preserve">Data source</w:t>
            </w:r>
          </w:p>
        </w:tc>
        <w:tc>
          <w:tcPr/>
          <w:p>
            <w:pPr>
              <w:pStyle w:val="Compact"/>
              <w:jc w:val="left"/>
            </w:pPr>
            <w:r>
              <w:t xml:space="preserve">World Bank Enterprise Surveys (45 economies, 102 waves, 2003–2025)</w:t>
            </w:r>
          </w:p>
        </w:tc>
      </w:tr>
      <w:tr>
        <w:tc>
          <w:tcPr/>
          <w:p>
            <w:pPr>
              <w:pStyle w:val="Compact"/>
              <w:jc w:val="left"/>
            </w:pPr>
            <w:r>
              <w:t xml:space="preserve">Software</w:t>
            </w:r>
          </w:p>
        </w:tc>
        <w:tc>
          <w:tcPr/>
          <w:p>
            <w:pPr>
              <w:pStyle w:val="Compact"/>
              <w:jc w:val="left"/>
            </w:pPr>
            <w:r>
              <w:t xml:space="preserve">R 4.3 / Stata 17 (estimation); Python 3.12 (replication checks and data harmonization)</w:t>
            </w:r>
          </w:p>
        </w:tc>
      </w:tr>
      <w:tr>
        <w:tc>
          <w:tcPr/>
          <w:p>
            <w:pPr>
              <w:pStyle w:val="Compact"/>
              <w:jc w:val="left"/>
            </w:pPr>
            <w:r>
              <w:t xml:space="preserve">Observations</w:t>
            </w:r>
          </w:p>
        </w:tc>
        <w:tc>
          <w:tcPr/>
          <w:p>
            <w:pPr>
              <w:pStyle w:val="Compact"/>
              <w:jc w:val="left"/>
            </w:pPr>
            <w:r>
              <w:t xml:space="preserve">82,302 (M2 baseline) — 28,500 (M11 full model)</w:t>
            </w:r>
          </w:p>
        </w:tc>
      </w:tr>
      <w:tr>
        <w:tc>
          <w:tcPr/>
          <w:p>
            <w:pPr>
              <w:pStyle w:val="Compact"/>
              <w:jc w:val="left"/>
            </w:pPr>
            <w:r>
              <w:t xml:space="preserve">Economies</w:t>
            </w:r>
          </w:p>
        </w:tc>
        <w:tc>
          <w:tcPr/>
          <w:p>
            <w:pPr>
              <w:pStyle w:val="Compact"/>
              <w:jc w:val="left"/>
            </w:pPr>
            <w:r>
              <w:t xml:space="preserve">49 (41 Asian + 8 Pacific SIDS boundary cases)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5" Target="mailto:patu@ctu.edu.vn" TargetMode="External" /><Relationship Type="http://schemas.openxmlformats.org/officeDocument/2006/relationships/hyperlink" Id="rId22"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5" Target="mailto:patu@ctu.edu.vn" TargetMode="External" /><Relationship Type="http://schemas.openxmlformats.org/officeDocument/2006/relationships/hyperlink" Id="rId22"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2026-06-01T16:23:09Z</dcterms:created>
  <dcterms:modified xsi:type="dcterms:W3CDTF">2026-06-01T16:23:09Z</dcterms:modified>
</cp:coreProperties>
</file>

<file path=docProps/custom.xml><?xml version="1.0" encoding="utf-8"?>
<Properties xmlns="http://schemas.openxmlformats.org/officeDocument/2006/custom-properties" xmlns:vt="http://schemas.openxmlformats.org/officeDocument/2006/docPropsVTypes"/>
</file>