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BỘ GIÁO DỤC VÀ ĐÀO TẠO</w:t>
      </w:r>
      <w:r>
        <w:t xml:space="preserve"> </w:t>
      </w:r>
      <w:r>
        <w:t xml:space="preserve">TRƯỜNG ĐẠI HỌC CẦN THƠ</w:t>
      </w:r>
      <w:r>
        <w:t xml:space="preserve"> </w:t>
      </w:r>
      <w:r>
        <w:t xml:space="preserve">TRƯỜNG KINH TẾ</w:t>
      </w:r>
    </w:p>
    <w:p>
      <w:pPr>
        <w:pStyle w:val="BodyText"/>
      </w:pPr>
      <w:r>
        <w:t xml:space="preserve">─────────────────────────────────────────</w:t>
      </w:r>
    </w:p>
    <w:p>
      <w:pPr>
        <w:pStyle w:val="BodyText"/>
      </w:pPr>
      <w:r>
        <w:t xml:space="preserve">ĐỖ THÙY HƯƠNG</w:t>
      </w:r>
    </w:p>
    <w:p>
      <w:pPr>
        <w:pStyle w:val="BodyText"/>
      </w:pPr>
      <w:r>
        <w:t xml:space="preserve">CHUYÊN ĐỀ TIẾN SĨ SỐ 1</w:t>
      </w:r>
    </w:p>
    <w:p>
      <w:pPr>
        <w:pStyle w:val="BodyText"/>
      </w:pPr>
      <w:r>
        <w:t xml:space="preserve">THỰC TRẠNG VỀ HIỆU QUẢ HOẠT ĐỘNG KINH DOANH</w:t>
      </w:r>
      <w:r>
        <w:t xml:space="preserve"> </w:t>
      </w:r>
      <w:r>
        <w:t xml:space="preserve">CỦA CÁC DOANH NGHIỆP Ở CHÂU Á</w:t>
      </w:r>
    </w:p>
    <w:p>
      <w:pPr>
        <w:pStyle w:val="BodyText"/>
      </w:pPr>
      <w:r>
        <w:t xml:space="preserve">Ngành: Quản trị kinh doanh</w:t>
      </w:r>
      <w:r>
        <w:t xml:space="preserve"> </w:t>
      </w:r>
      <w:r>
        <w:t xml:space="preserve">Mã ngành: 9340101</w:t>
      </w:r>
      <w:r>
        <w:t xml:space="preserve"> </w:t>
      </w:r>
      <w:r>
        <w:t xml:space="preserve">Mã nghiên cứu sinh: P1323001</w:t>
      </w:r>
    </w:p>
    <w:p>
      <w:pPr>
        <w:pStyle w:val="BodyText"/>
      </w:pPr>
      <w:r>
        <w:t xml:space="preserve">NGƯỜI HƯỚNG DẪN KHOA HỌC</w:t>
      </w:r>
      <w:r>
        <w:t xml:space="preserve"> </w:t>
      </w:r>
      <w:r>
        <w:t xml:space="preserve">TS. NGUYỄN MINH CẢNH</w:t>
      </w:r>
    </w:p>
    <w:p>
      <w:pPr>
        <w:pStyle w:val="BodyText"/>
      </w:pPr>
      <w:r>
        <w:t xml:space="preserve">Cần Thơ, năm 2026</w:t>
      </w:r>
    </w:p>
    <w:p>
      <w:r>
        <w:pict>
          <v:rect style="width:0;height:1.5pt" o:hralign="center" o:hrstd="t" o:hr="t"/>
        </w:pict>
      </w:r>
    </w:p>
    <w:bookmarkStart w:id="20" w:name="lời-cam-đoan"/>
    <w:p>
      <w:pPr>
        <w:pStyle w:val="Heading2"/>
      </w:pPr>
      <w:r>
        <w:t xml:space="preserve">LỜI CAM ĐOAN</w:t>
      </w:r>
    </w:p>
    <w:p>
      <w:pPr>
        <w:pStyle w:val="FirstParagraph"/>
      </w:pPr>
      <w:r>
        <w:t xml:space="preserve">Tôi xin cam đoan chuyên đề tiến sĩ số 1 với tiêu đề</w:t>
      </w:r>
      <w:r>
        <w:t xml:space="preserve"> </w:t>
      </w:r>
      <w:r>
        <w:t xml:space="preserve">“</w:t>
      </w:r>
      <w:r>
        <w:t xml:space="preserve">Thực trạng về hiệu quả hoạt động kinh doanh của các doanh nghiệp ở Châu Á</w:t>
      </w:r>
      <w:r>
        <w:t xml:space="preserve">”</w:t>
      </w:r>
      <w:r>
        <w:t xml:space="preserve"> </w:t>
      </w:r>
      <w:r>
        <w:t xml:space="preserve">là công trình nghiên cứu của riêng tôi dưới sự hướng dẫn khoa học của TS. Nguyễn Minh Cảnh, Trường Đại học Cần Thơ. Các kết quả phân tích, số liệu, bảng biểu, hình vẽ trình bày trong chuyên đề đều trung thực, có nguồn gốc rõ ràng. Tài liệu tham khảo được trích dẫn theo chuẩn APA 7th. Những trích dẫn từ các nghiên cứu khác đều được nêu rõ trong danh mục tài liệu tham khảo. Tôi xin chịu trách nhiệm hoàn toàn về nội dung khoa học của chuyên đề này.</w:t>
      </w:r>
    </w:p>
    <w:p>
      <w:pPr>
        <w:pStyle w:val="BodyText"/>
      </w:pPr>
      <w:r>
        <w:rPr>
          <w:iCs/>
          <w:i/>
        </w:rPr>
        <w:t xml:space="preserve">Cần Thơ, ngày … tháng … năm 2026</w:t>
      </w:r>
    </w:p>
    <w:p>
      <w:pPr>
        <w:pStyle w:val="BodyText"/>
      </w:pPr>
      <w:r>
        <w:rPr>
          <w:iCs/>
          <w:i/>
        </w:rPr>
        <w:t xml:space="preserve">Nghiên cứu sinh</w:t>
      </w:r>
    </w:p>
    <w:p>
      <w:pPr>
        <w:pStyle w:val="BodyText"/>
      </w:pPr>
      <w:r>
        <w:rPr>
          <w:bCs/>
          <w:b/>
        </w:rPr>
        <w:t xml:space="preserve">Đỗ Thùy Hương</w:t>
      </w:r>
    </w:p>
    <w:p>
      <w:r>
        <w:pict>
          <v:rect style="width:0;height:1.5pt" o:hralign="center" o:hrstd="t" o:hr="t"/>
        </w:pict>
      </w:r>
    </w:p>
    <w:bookmarkEnd w:id="20"/>
    <w:bookmarkStart w:id="21" w:name="tóm-tắt"/>
    <w:p>
      <w:pPr>
        <w:pStyle w:val="Heading2"/>
      </w:pPr>
      <w:r>
        <w:t xml:space="preserve">TÓM TẮT</w:t>
      </w:r>
    </w:p>
    <w:p>
      <w:pPr>
        <w:pStyle w:val="FirstParagraph"/>
      </w:pPr>
      <w:r>
        <w:t xml:space="preserve">Chuyên đề này thực hiện phân tích mô tả - chẩn đoán thực trạng hiệu quả hoạt động kinh doanh của doanh nghiệp ở</w:t>
      </w:r>
      <w:r>
        <w:t xml:space="preserve"> </w:t>
      </w:r>
      <w:r>
        <w:rPr>
          <w:bCs/>
          <w:b/>
        </w:rPr>
        <w:t xml:space="preserve">các nền kinh tế châu Á (phạm vi chính)</w:t>
      </w:r>
      <w:r>
        <w:t xml:space="preserve"> </w:t>
      </w:r>
      <w:r>
        <w:t xml:space="preserve">trong giai đoạn</w:t>
      </w:r>
      <w:r>
        <w:t xml:space="preserve"> </w:t>
      </w:r>
      <w:r>
        <w:rPr>
          <w:bCs/>
          <w:b/>
        </w:rPr>
        <w:t xml:space="preserve">2009-2025</w:t>
      </w:r>
      <w:r>
        <w:t xml:space="preserve">, mở rộng so sánh với các quốc đảo nhỏ đang phát triển (SIDS) Thái Bình Dương như trường hợp biên. Cơ sở dữ liệu là tổng hợp dữ liệu vi mô gồm</w:t>
      </w:r>
      <w:r>
        <w:t xml:space="preserve"> </w:t>
      </w:r>
      <w:r>
        <w:rPr>
          <w:bCs/>
          <w:b/>
        </w:rPr>
        <w:t xml:space="preserve">101.185 doanh nghiệp, 108 cặp quốc gia × năm và 14 mốc khảo sát</w:t>
      </w:r>
      <w:r>
        <w:t xml:space="preserve"> </w:t>
      </w:r>
      <w:r>
        <w:t xml:space="preserve">từ World Bank Enterprise Surveys (WBES). Tổng hợp này kế thừa và mở rộng từ 17 nước châu Á mới nổi (~40.633 doanh nghiệp) đã được tác giả công bố trước đó (Đỗ &amp; Phan, 2026, VEFR), bao trùm</w:t>
      </w:r>
      <w:r>
        <w:t xml:space="preserve"> </w:t>
      </w:r>
      <w:r>
        <w:rPr>
          <w:bCs/>
          <w:b/>
        </w:rPr>
        <w:t xml:space="preserve">47 nền kinh tế</w:t>
      </w:r>
      <w:r>
        <w:t xml:space="preserve"> </w:t>
      </w:r>
      <w:r>
        <w:t xml:space="preserve">với 6 phân nhóm con theo khung Biến thiên chế độ thể chế (ICRV): Advanced đổi mới sáng tạo dẫn dắt (5 nước), Advanced tài nguyên dẫn dắt (5 nước), trung bình cao (6 nước), đang nổi (7 nước), cận biên (17 nước), và SIDS Thái Bình Dương (7 nước, trường hợp biên mở rộng).</w:t>
      </w:r>
    </w:p>
    <w:p>
      <w:pPr>
        <w:pStyle w:val="BodyText"/>
      </w:pPr>
      <w:r>
        <w:t xml:space="preserve">Phương pháp chủ đạo là thống kê mô tả đa chiều, kết hợp đồ thị, bảng so sánh xuyên quốc gia - xuyên ngành và phân tích hai biến. Hiệu quả hoạt động kinh doanh được tiếp cận theo bốn chiều: năng suất lao động, lợi nhuận và biên lợi nhuận, tăng trưởng, đổi mới sáng tạo và cấu trúc doanh nghiệp.</w:t>
      </w:r>
    </w:p>
    <w:p>
      <w:pPr>
        <w:pStyle w:val="BodyText"/>
      </w:pPr>
      <w:r>
        <w:t xml:space="preserve">Kết quả cho thấy hiệu quả doanh nghiệp châu Á có</w:t>
      </w:r>
      <w:r>
        <w:t xml:space="preserve"> </w:t>
      </w:r>
      <w:r>
        <w:rPr>
          <w:bCs/>
          <w:b/>
        </w:rPr>
        <w:t xml:space="preserve">phân tán lớn và không hội tụ</w:t>
      </w:r>
      <w:r>
        <w:t xml:space="preserve">. Bảy tiểu cảnh điển hình tồn tại đồng thời (Singapore - Vùng Vịnh Saudi/Qatar/Kuwait - Việt Nam - Trung Quốc - Emerging Asia - Mongolia - SIDS Thái Bình Dương) với điểm mạnh hiệu quả khác nhau. Chuyên đề phát hiện</w:t>
      </w:r>
      <w:r>
        <w:t xml:space="preserve"> </w:t>
      </w:r>
      <w:r>
        <w:rPr>
          <w:bCs/>
          <w:b/>
        </w:rPr>
        <w:t xml:space="preserve">phân nhóm con Advanced</w:t>
      </w:r>
      <w:r>
        <w:t xml:space="preserve"> </w:t>
      </w:r>
      <w:r>
        <w:t xml:space="preserve">(innovation-driven so với resource-driven) và xác nhận pattern</w:t>
      </w:r>
      <w:r>
        <w:t xml:space="preserve"> </w:t>
      </w:r>
      <w:r>
        <w:rPr>
          <w:bCs/>
          <w:b/>
        </w:rPr>
        <w:t xml:space="preserve">chi phí buộc phải quốc tế hóa</w:t>
      </w:r>
      <w:r>
        <w:t xml:space="preserve"> </w:t>
      </w:r>
      <w:r>
        <w:t xml:space="preserve">ở 7 SIDS Thái Bình Dương, đóng góp định hướng cho luận án và Chuyên đề tiến sĩ số 2.</w:t>
      </w:r>
    </w:p>
    <w:p>
      <w:pPr>
        <w:pStyle w:val="BodyText"/>
      </w:pPr>
      <w:r>
        <w:rPr>
          <w:bCs/>
          <w:b/>
        </w:rPr>
        <w:t xml:space="preserve">Từ khóa</w:t>
      </w:r>
      <w:r>
        <w:t xml:space="preserve">: hiệu quả doanh nghiệp; châu Á; WBES; thực trạng; năng suất lao động; doanh nghiệp vừa và nhỏ; phân nhóm con Advanced; SIDS Thái Bình Dương.</w:t>
      </w:r>
    </w:p>
    <w:p>
      <w:r>
        <w:pict>
          <v:rect style="width:0;height:1.5pt" o:hralign="center" o:hrstd="t" o:hr="t"/>
        </w:pict>
      </w:r>
    </w:p>
    <w:bookmarkEnd w:id="21"/>
    <w:bookmarkStart w:id="22" w:name="abstract"/>
    <w:p>
      <w:pPr>
        <w:pStyle w:val="Heading2"/>
      </w:pPr>
      <w:r>
        <w:t xml:space="preserve">ABSTRACT</w:t>
      </w:r>
    </w:p>
    <w:p>
      <w:pPr>
        <w:pStyle w:val="FirstParagraph"/>
      </w:pPr>
      <w:r>
        <w:t xml:space="preserve">This specialty essay conducts a descriptive-diagnostic analysis of the firm performance landscape across</w:t>
      </w:r>
      <w:r>
        <w:t xml:space="preserve"> </w:t>
      </w:r>
      <w:r>
        <w:rPr>
          <w:bCs/>
          <w:b/>
        </w:rPr>
        <w:t xml:space="preserve">Asian economies (primary scope)</w:t>
      </w:r>
      <w:r>
        <w:t xml:space="preserve"> </w:t>
      </w:r>
      <w:r>
        <w:t xml:space="preserve">during</w:t>
      </w:r>
      <w:r>
        <w:t xml:space="preserve"> </w:t>
      </w:r>
      <w:r>
        <w:rPr>
          <w:bCs/>
          <w:b/>
        </w:rPr>
        <w:t xml:space="preserve">2009-2025</w:t>
      </w:r>
      <w:r>
        <w:t xml:space="preserve">, with comparative extension to Pacific SIDS as a boundary case. The microdata pool contains</w:t>
      </w:r>
      <w:r>
        <w:t xml:space="preserve"> </w:t>
      </w:r>
      <w:r>
        <w:rPr>
          <w:bCs/>
          <w:b/>
        </w:rPr>
        <w:t xml:space="preserve">101,185 firms, 108 country-year pairs, 14 survey waves</w:t>
      </w:r>
      <w:r>
        <w:t xml:space="preserve"> </w:t>
      </w:r>
      <w:r>
        <w:t xml:space="preserve">from the World Bank Enterprise Surveys (WBES). Building on and extending the 17-economy pool of emerging Asia (~40,633 firms) previously published by the author (Do &amp; Phan, 2026, VEFR), the pool covers</w:t>
      </w:r>
      <w:r>
        <w:t xml:space="preserve"> </w:t>
      </w:r>
      <w:r>
        <w:rPr>
          <w:bCs/>
          <w:b/>
        </w:rPr>
        <w:t xml:space="preserve">47 economies</w:t>
      </w:r>
      <w:r>
        <w:t xml:space="preserve"> </w:t>
      </w:r>
      <w:r>
        <w:t xml:space="preserve">with six sub-regimes of ICRV (Institutional Context Regime Variation): Advanced innovation-driven (5), Advanced resource-driven (5), Upper-middle (6), Emerging (7), Frontier (17), Pacific SIDS (7, boundary case extension).</w:t>
      </w:r>
    </w:p>
    <w:p>
      <w:pPr>
        <w:pStyle w:val="BodyText"/>
      </w:pPr>
      <w:r>
        <w:t xml:space="preserve">Adopting multidimensional descriptive statistics, charts, cross-country-cross-industry comparison tables and bivariate analyses, the study examines firm performance along four axes: labor productivity, profitability and margins, growth, and innovation and structural composition. Findings indicate substantial and persistent dispersion in firm performance across Asian economies with no convergence pattern; six salient archetypes (Singapore, Saudi/Qatar/Kuwait, Vietnam, China, broader Emerging Asia, Mongolia, primary scope) plus Pacific SIDS as boundary case coexist with distinct performance strengths; bivariate correlations vary in sign and magnitude across regimes, suggesting nonlinear and moderation models. The essay identifies a sub-grouping of the Advanced regime (innovation- vs resource-driven) within primary Asian scope and confirms the forced internationalization penalty pattern in 7 Pacific SIDS boundary case.</w:t>
      </w:r>
    </w:p>
    <w:p>
      <w:pPr>
        <w:pStyle w:val="BodyText"/>
      </w:pPr>
      <w:r>
        <w:rPr>
          <w:bCs/>
          <w:b/>
        </w:rPr>
        <w:t xml:space="preserve">Keywords</w:t>
      </w:r>
      <w:r>
        <w:t xml:space="preserve">: firm performance; Asia; WBES; landscape; labor productivity; SMEs; Advanced sub-grouping; Pacific SIDS boundary case.</w:t>
      </w:r>
    </w:p>
    <w:p>
      <w:r>
        <w:pict>
          <v:rect style="width:0;height:1.5pt" o:hralign="center" o:hrstd="t" o:hr="t"/>
        </w:pict>
      </w:r>
    </w:p>
    <w:bookmarkEnd w:id="22"/>
    <w:bookmarkStart w:id="23" w:name="mục-lục"/>
    <w:p>
      <w:pPr>
        <w:pStyle w:val="Heading2"/>
      </w:pPr>
      <w:r>
        <w:t xml:space="preserve">MỤC LỤC</w:t>
      </w:r>
    </w:p>
    <w:p>
      <w:pPr>
        <w:numPr>
          <w:ilvl w:val="0"/>
          <w:numId w:val="1001"/>
        </w:numPr>
        <w:pStyle w:val="Compact"/>
      </w:pPr>
      <w:r>
        <w:t xml:space="preserve">Lời cam đoan</w:t>
      </w:r>
    </w:p>
    <w:p>
      <w:pPr>
        <w:numPr>
          <w:ilvl w:val="0"/>
          <w:numId w:val="1001"/>
        </w:numPr>
        <w:pStyle w:val="Compact"/>
      </w:pPr>
      <w:r>
        <w:t xml:space="preserve">Tóm tắt / Abstract</w:t>
      </w:r>
    </w:p>
    <w:p>
      <w:pPr>
        <w:numPr>
          <w:ilvl w:val="0"/>
          <w:numId w:val="1001"/>
        </w:numPr>
        <w:pStyle w:val="Compact"/>
      </w:pPr>
      <w:r>
        <w:t xml:space="preserve">Danh mục bảng</w:t>
      </w:r>
    </w:p>
    <w:p>
      <w:pPr>
        <w:numPr>
          <w:ilvl w:val="0"/>
          <w:numId w:val="1001"/>
        </w:numPr>
        <w:pStyle w:val="Compact"/>
      </w:pPr>
      <w:r>
        <w:t xml:space="preserve">Danh mục hình</w:t>
      </w:r>
    </w:p>
    <w:p>
      <w:pPr>
        <w:numPr>
          <w:ilvl w:val="0"/>
          <w:numId w:val="1001"/>
        </w:numPr>
        <w:pStyle w:val="Compact"/>
      </w:pPr>
      <w:r>
        <w:t xml:space="preserve">Danh mục từ viết tắt</w:t>
      </w:r>
    </w:p>
    <w:p>
      <w:pPr>
        <w:numPr>
          <w:ilvl w:val="0"/>
          <w:numId w:val="1001"/>
        </w:numPr>
        <w:pStyle w:val="Compact"/>
      </w:pPr>
      <w:r>
        <w:rPr>
          <w:bCs/>
          <w:b/>
        </w:rPr>
        <w:t xml:space="preserve">2.1 Giới thiệu</w:t>
      </w:r>
    </w:p>
    <w:p>
      <w:pPr>
        <w:numPr>
          <w:ilvl w:val="1"/>
          <w:numId w:val="1002"/>
        </w:numPr>
        <w:pStyle w:val="Compact"/>
      </w:pPr>
      <w:r>
        <w:t xml:space="preserve">2.1.1 Đặt vấn đề và tính cấp thiết</w:t>
      </w:r>
    </w:p>
    <w:p>
      <w:pPr>
        <w:numPr>
          <w:ilvl w:val="1"/>
          <w:numId w:val="1002"/>
        </w:numPr>
        <w:pStyle w:val="Compact"/>
      </w:pPr>
      <w:r>
        <w:t xml:space="preserve">2.1.2 Mục tiêu chuyên đề</w:t>
      </w:r>
    </w:p>
    <w:p>
      <w:pPr>
        <w:numPr>
          <w:ilvl w:val="1"/>
          <w:numId w:val="1002"/>
        </w:numPr>
        <w:pStyle w:val="Compact"/>
      </w:pPr>
      <w:r>
        <w:t xml:space="preserve">2.1.3 Nội dung và phạm vi nghiên cứu</w:t>
      </w:r>
    </w:p>
    <w:p>
      <w:pPr>
        <w:numPr>
          <w:ilvl w:val="1"/>
          <w:numId w:val="1002"/>
        </w:numPr>
        <w:pStyle w:val="Compact"/>
      </w:pPr>
      <w:r>
        <w:t xml:space="preserve">2.1.4 Giới hạn nghiên cứu</w:t>
      </w:r>
    </w:p>
    <w:p>
      <w:pPr>
        <w:numPr>
          <w:ilvl w:val="1"/>
          <w:numId w:val="1002"/>
        </w:numPr>
        <w:pStyle w:val="Compact"/>
      </w:pPr>
      <w:r>
        <w:t xml:space="preserve">2.1.5 Ý nghĩa khoa học và thực tiễn</w:t>
      </w:r>
    </w:p>
    <w:p>
      <w:pPr>
        <w:numPr>
          <w:ilvl w:val="0"/>
          <w:numId w:val="1001"/>
        </w:numPr>
        <w:pStyle w:val="Compact"/>
      </w:pPr>
      <w:r>
        <w:rPr>
          <w:bCs/>
          <w:b/>
        </w:rPr>
        <w:t xml:space="preserve">2.2 Phương pháp nghiên cứu</w:t>
      </w:r>
    </w:p>
    <w:p>
      <w:pPr>
        <w:numPr>
          <w:ilvl w:val="0"/>
          <w:numId w:val="1001"/>
        </w:numPr>
        <w:pStyle w:val="Compact"/>
      </w:pPr>
      <w:r>
        <w:rPr>
          <w:bCs/>
          <w:b/>
        </w:rPr>
        <w:t xml:space="preserve">2.3 Nội dung nghiên cứu</w:t>
      </w:r>
    </w:p>
    <w:p>
      <w:pPr>
        <w:numPr>
          <w:ilvl w:val="1"/>
          <w:numId w:val="1003"/>
        </w:numPr>
        <w:pStyle w:val="Compact"/>
      </w:pPr>
      <w:r>
        <w:t xml:space="preserve">2.3.1 Cơ sở lý luận về hiệu quả hoạt động kinh doanh</w:t>
      </w:r>
    </w:p>
    <w:p>
      <w:pPr>
        <w:numPr>
          <w:ilvl w:val="1"/>
          <w:numId w:val="1003"/>
        </w:numPr>
        <w:pStyle w:val="Compact"/>
      </w:pPr>
      <w:r>
        <w:t xml:space="preserve">2.3.2 Khung phân loại thể chế ICRV</w:t>
      </w:r>
    </w:p>
    <w:p>
      <w:pPr>
        <w:numPr>
          <w:ilvl w:val="1"/>
          <w:numId w:val="1003"/>
        </w:numPr>
        <w:pStyle w:val="Compact"/>
      </w:pPr>
      <w:r>
        <w:t xml:space="preserve">2.3.3 Thực trạng năng suất lao động và quốc tế hóa</w:t>
      </w:r>
    </w:p>
    <w:p>
      <w:pPr>
        <w:numPr>
          <w:ilvl w:val="1"/>
          <w:numId w:val="1003"/>
        </w:numPr>
        <w:pStyle w:val="Compact"/>
      </w:pPr>
      <w:r>
        <w:t xml:space="preserve">2.3.4 Đổi mới sáng tạo và năng lực số hóa</w:t>
      </w:r>
    </w:p>
    <w:p>
      <w:pPr>
        <w:numPr>
          <w:ilvl w:val="1"/>
          <w:numId w:val="1003"/>
        </w:numPr>
        <w:pStyle w:val="Compact"/>
      </w:pPr>
      <w:r>
        <w:t xml:space="preserve">2.3.5 Cấu trúc doanh nghiệp</w:t>
      </w:r>
    </w:p>
    <w:p>
      <w:pPr>
        <w:numPr>
          <w:ilvl w:val="1"/>
          <w:numId w:val="1003"/>
        </w:numPr>
        <w:pStyle w:val="Compact"/>
      </w:pPr>
      <w:r>
        <w:t xml:space="preserve">2.3.6 Biến thiên theo thời gian (2009-2025)</w:t>
      </w:r>
    </w:p>
    <w:p>
      <w:pPr>
        <w:numPr>
          <w:ilvl w:val="1"/>
          <w:numId w:val="1003"/>
        </w:numPr>
        <w:pStyle w:val="Compact"/>
      </w:pPr>
      <w:r>
        <w:t xml:space="preserve">2.3.7 Bảy tiểu cảnh điển hình</w:t>
      </w:r>
    </w:p>
    <w:p>
      <w:pPr>
        <w:numPr>
          <w:ilvl w:val="1"/>
          <w:numId w:val="1003"/>
        </w:numPr>
        <w:pStyle w:val="Compact"/>
      </w:pPr>
      <w:r>
        <w:t xml:space="preserve">2.3.8 Yếu tố giải thích sơ bộ</w:t>
      </w:r>
    </w:p>
    <w:p>
      <w:pPr>
        <w:numPr>
          <w:ilvl w:val="1"/>
          <w:numId w:val="1003"/>
        </w:numPr>
        <w:pStyle w:val="Compact"/>
      </w:pPr>
      <w:r>
        <w:t xml:space="preserve">2.3.9 Thảo luận tổng hợp</w:t>
      </w:r>
    </w:p>
    <w:p>
      <w:pPr>
        <w:numPr>
          <w:ilvl w:val="0"/>
          <w:numId w:val="1001"/>
        </w:numPr>
        <w:pStyle w:val="Compact"/>
      </w:pPr>
      <w:r>
        <w:rPr>
          <w:bCs/>
          <w:b/>
        </w:rPr>
        <w:t xml:space="preserve">2.4 Kết luận</w:t>
      </w:r>
    </w:p>
    <w:p>
      <w:pPr>
        <w:numPr>
          <w:ilvl w:val="1"/>
          <w:numId w:val="1004"/>
        </w:numPr>
        <w:pStyle w:val="Compact"/>
      </w:pPr>
      <w:r>
        <w:t xml:space="preserve">2.4.1 Kết luận chính</w:t>
      </w:r>
    </w:p>
    <w:p>
      <w:pPr>
        <w:numPr>
          <w:ilvl w:val="1"/>
          <w:numId w:val="1004"/>
        </w:numPr>
        <w:pStyle w:val="Compact"/>
      </w:pPr>
      <w:r>
        <w:t xml:space="preserve">2.4.2 Hàm ý và đề xuất</w:t>
      </w:r>
    </w:p>
    <w:p>
      <w:pPr>
        <w:numPr>
          <w:ilvl w:val="0"/>
          <w:numId w:val="1001"/>
        </w:numPr>
        <w:pStyle w:val="Compact"/>
      </w:pPr>
      <w:r>
        <w:t xml:space="preserve">Tài liệu tham khảo</w:t>
      </w:r>
    </w:p>
    <w:p>
      <w:pPr>
        <w:numPr>
          <w:ilvl w:val="0"/>
          <w:numId w:val="1001"/>
        </w:numPr>
        <w:pStyle w:val="Compact"/>
      </w:pPr>
      <w:r>
        <w:t xml:space="preserve">Phụ lục A, Phạm vi nhóm dữ liệu WBES</w:t>
      </w:r>
    </w:p>
    <w:p>
      <w:r>
        <w:pict>
          <v:rect style="width:0;height:1.5pt" o:hralign="center" o:hrstd="t" o:hr="t"/>
        </w:pict>
      </w:r>
    </w:p>
    <w:bookmarkEnd w:id="23"/>
    <w:bookmarkStart w:id="24" w:name="danh-mục-bảng"/>
    <w:p>
      <w:pPr>
        <w:pStyle w:val="Heading2"/>
      </w:pPr>
      <w:r>
        <w:t xml:space="preserve">DANH MỤC BẢNG</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Bảng</w:t>
            </w:r>
          </w:p>
        </w:tc>
        <w:tc>
          <w:tcPr/>
          <w:p>
            <w:pPr>
              <w:pStyle w:val="Compact"/>
              <w:jc w:val="left"/>
            </w:pPr>
            <w:r>
              <w:t xml:space="preserve">Tiêu đề</w:t>
            </w:r>
          </w:p>
        </w:tc>
        <w:tc>
          <w:tcPr/>
          <w:p>
            <w:pPr>
              <w:pStyle w:val="Compact"/>
              <w:jc w:val="left"/>
            </w:pPr>
            <w:r>
              <w:t xml:space="preserve">Trang</w:t>
            </w:r>
          </w:p>
        </w:tc>
      </w:tr>
      <w:tr>
        <w:tc>
          <w:tcPr/>
          <w:p>
            <w:pPr>
              <w:pStyle w:val="Compact"/>
              <w:jc w:val="left"/>
            </w:pPr>
            <w:r>
              <w:t xml:space="preserve">Bảng 2.3.1.1</w:t>
            </w:r>
          </w:p>
        </w:tc>
        <w:tc>
          <w:tcPr/>
          <w:p>
            <w:pPr>
              <w:pStyle w:val="Compact"/>
              <w:jc w:val="left"/>
            </w:pPr>
            <w:r>
              <w:t xml:space="preserve">Ma trận đối chiếu 3 trạng thái U-curve theo 3 điều kiện cấu trúc</w:t>
            </w:r>
          </w:p>
        </w:tc>
        <w:tc>
          <w:tcPr/>
          <w:p>
            <w:pPr>
              <w:pStyle w:val="Compact"/>
              <w:jc w:val="left"/>
            </w:pPr>
            <w:r>
              <w:t xml:space="preserve">2.3</w:t>
            </w:r>
          </w:p>
        </w:tc>
      </w:tr>
      <w:tr>
        <w:tc>
          <w:tcPr/>
          <w:p>
            <w:pPr>
              <w:pStyle w:val="Compact"/>
              <w:jc w:val="left"/>
            </w:pPr>
            <w:r>
              <w:t xml:space="preserve">Bảng 2.3.2.1</w:t>
            </w:r>
          </w:p>
        </w:tc>
        <w:tc>
          <w:tcPr/>
          <w:p>
            <w:pPr>
              <w:pStyle w:val="Compact"/>
              <w:jc w:val="left"/>
            </w:pPr>
            <w:r>
              <w:t xml:space="preserve">47 nền kinh tế phân theo 6 nhóm ICRV</w:t>
            </w:r>
          </w:p>
        </w:tc>
        <w:tc>
          <w:tcPr/>
          <w:p>
            <w:pPr>
              <w:pStyle w:val="Compact"/>
              <w:jc w:val="left"/>
            </w:pPr>
            <w:r>
              <w:t xml:space="preserve">2.3</w:t>
            </w:r>
          </w:p>
        </w:tc>
      </w:tr>
      <w:tr>
        <w:tc>
          <w:tcPr/>
          <w:p>
            <w:pPr>
              <w:pStyle w:val="Compact"/>
              <w:jc w:val="left"/>
            </w:pPr>
            <w:r>
              <w:t xml:space="preserve">Bảng 2.3.2.2</w:t>
            </w:r>
          </w:p>
        </w:tc>
        <w:tc>
          <w:tcPr/>
          <w:p>
            <w:pPr>
              <w:pStyle w:val="Compact"/>
              <w:jc w:val="left"/>
            </w:pPr>
            <w:r>
              <w:t xml:space="preserve">Đặc điểm các nhóm ICRV (tiêu chí + đại diện + pattern dự kiến)</w:t>
            </w:r>
          </w:p>
        </w:tc>
        <w:tc>
          <w:tcPr/>
          <w:p>
            <w:pPr>
              <w:pStyle w:val="Compact"/>
              <w:jc w:val="left"/>
            </w:pPr>
            <w:r>
              <w:t xml:space="preserve">2.3</w:t>
            </w:r>
          </w:p>
        </w:tc>
      </w:tr>
      <w:tr>
        <w:tc>
          <w:tcPr/>
          <w:p>
            <w:pPr>
              <w:pStyle w:val="Compact"/>
              <w:jc w:val="left"/>
            </w:pPr>
            <w:r>
              <w:t xml:space="preserve">Bảng 2.3.3.1</w:t>
            </w:r>
          </w:p>
        </w:tc>
        <w:tc>
          <w:tcPr/>
          <w:p>
            <w:pPr>
              <w:pStyle w:val="Compact"/>
              <w:jc w:val="left"/>
            </w:pPr>
            <w:r>
              <w:t xml:space="preserve">Phân tán năng suất lao động theo phân nhóm con thể chế</w:t>
            </w:r>
          </w:p>
        </w:tc>
        <w:tc>
          <w:tcPr/>
          <w:p>
            <w:pPr>
              <w:pStyle w:val="Compact"/>
              <w:jc w:val="left"/>
            </w:pPr>
            <w:r>
              <w:t xml:space="preserve">2.3</w:t>
            </w:r>
          </w:p>
        </w:tc>
      </w:tr>
      <w:tr>
        <w:tc>
          <w:tcPr/>
          <w:p>
            <w:pPr>
              <w:pStyle w:val="Compact"/>
              <w:jc w:val="left"/>
            </w:pPr>
            <w:r>
              <w:t xml:space="preserve">Bảng 2.3.3.2</w:t>
            </w:r>
          </w:p>
        </w:tc>
        <w:tc>
          <w:tcPr/>
          <w:p>
            <w:pPr>
              <w:pStyle w:val="Compact"/>
              <w:jc w:val="left"/>
            </w:pPr>
            <w:r>
              <w:t xml:space="preserve">FSTS, doanh nghiệp xuất khẩu và CAGR việc làm theo phân nhóm con</w:t>
            </w:r>
          </w:p>
        </w:tc>
        <w:tc>
          <w:tcPr/>
          <w:p>
            <w:pPr>
              <w:pStyle w:val="Compact"/>
              <w:jc w:val="left"/>
            </w:pPr>
            <w:r>
              <w:t xml:space="preserve">2.3</w:t>
            </w:r>
          </w:p>
        </w:tc>
      </w:tr>
      <w:tr>
        <w:tc>
          <w:tcPr/>
          <w:p>
            <w:pPr>
              <w:pStyle w:val="Compact"/>
              <w:jc w:val="left"/>
            </w:pPr>
            <w:r>
              <w:t xml:space="preserve">Bảng 2.3.4.1</w:t>
            </w:r>
          </w:p>
        </w:tc>
        <w:tc>
          <w:tcPr/>
          <w:p>
            <w:pPr>
              <w:pStyle w:val="Compact"/>
              <w:jc w:val="left"/>
            </w:pPr>
            <w:r>
              <w:t xml:space="preserve">Đổi mới sáng tạo và áp dụng số (%)</w:t>
            </w:r>
          </w:p>
        </w:tc>
        <w:tc>
          <w:tcPr/>
          <w:p>
            <w:pPr>
              <w:pStyle w:val="Compact"/>
              <w:jc w:val="left"/>
            </w:pPr>
            <w:r>
              <w:t xml:space="preserve">2.3</w:t>
            </w:r>
          </w:p>
        </w:tc>
      </w:tr>
      <w:tr>
        <w:tc>
          <w:tcPr/>
          <w:p>
            <w:pPr>
              <w:pStyle w:val="Compact"/>
              <w:jc w:val="left"/>
            </w:pPr>
            <w:r>
              <w:t xml:space="preserve">Bảng 2.3.4.2</w:t>
            </w:r>
          </w:p>
        </w:tc>
        <w:tc>
          <w:tcPr/>
          <w:p>
            <w:pPr>
              <w:pStyle w:val="Compact"/>
              <w:jc w:val="left"/>
            </w:pPr>
            <w:r>
              <w:t xml:space="preserve">Khung 5 lĩnh vực chỉ số WBES</w:t>
            </w:r>
          </w:p>
        </w:tc>
        <w:tc>
          <w:tcPr/>
          <w:p>
            <w:pPr>
              <w:pStyle w:val="Compact"/>
              <w:jc w:val="left"/>
            </w:pPr>
            <w:r>
              <w:t xml:space="preserve">2.3</w:t>
            </w:r>
          </w:p>
        </w:tc>
      </w:tr>
      <w:tr>
        <w:tc>
          <w:tcPr/>
          <w:p>
            <w:pPr>
              <w:pStyle w:val="Compact"/>
              <w:jc w:val="left"/>
            </w:pPr>
            <w:r>
              <w:t xml:space="preserve">Bảng 2.3.5.1</w:t>
            </w:r>
          </w:p>
        </w:tc>
        <w:tc>
          <w:tcPr/>
          <w:p>
            <w:pPr>
              <w:pStyle w:val="Compact"/>
              <w:jc w:val="left"/>
            </w:pPr>
            <w:r>
              <w:t xml:space="preserve">Cấu trúc doanh nghiệp theo phân nhóm con (%)</w:t>
            </w:r>
          </w:p>
        </w:tc>
        <w:tc>
          <w:tcPr/>
          <w:p>
            <w:pPr>
              <w:pStyle w:val="Compact"/>
              <w:jc w:val="left"/>
            </w:pPr>
            <w:r>
              <w:t xml:space="preserve">2.3</w:t>
            </w:r>
          </w:p>
        </w:tc>
      </w:tr>
      <w:tr>
        <w:tc>
          <w:tcPr/>
          <w:p>
            <w:pPr>
              <w:pStyle w:val="Compact"/>
              <w:jc w:val="left"/>
            </w:pPr>
            <w:r>
              <w:t xml:space="preserve">Bảng 2.3.5.2</w:t>
            </w:r>
          </w:p>
        </w:tc>
        <w:tc>
          <w:tcPr/>
          <w:p>
            <w:pPr>
              <w:pStyle w:val="Compact"/>
              <w:jc w:val="left"/>
            </w:pPr>
            <w:r>
              <w:t xml:space="preserve">Bốn rào cản hàng đầu Asia-Pacific WBES</w:t>
            </w:r>
          </w:p>
        </w:tc>
        <w:tc>
          <w:tcPr/>
          <w:p>
            <w:pPr>
              <w:pStyle w:val="Compact"/>
              <w:jc w:val="left"/>
            </w:pPr>
            <w:r>
              <w:t xml:space="preserve">2.3</w:t>
            </w:r>
          </w:p>
        </w:tc>
      </w:tr>
      <w:tr>
        <w:tc>
          <w:tcPr/>
          <w:p>
            <w:pPr>
              <w:pStyle w:val="Compact"/>
              <w:jc w:val="left"/>
            </w:pPr>
            <w:r>
              <w:t xml:space="preserve">Bảng 2.3.6.1</w:t>
            </w:r>
          </w:p>
        </w:tc>
        <w:tc>
          <w:tcPr/>
          <w:p>
            <w:pPr>
              <w:pStyle w:val="Compact"/>
              <w:jc w:val="left"/>
            </w:pPr>
            <w:r>
              <w:t xml:space="preserve">Thay đổi theo thời gian, Δ điểm phần trăm 2018-2025 so với 2009-2012</w:t>
            </w:r>
          </w:p>
        </w:tc>
        <w:tc>
          <w:tcPr/>
          <w:p>
            <w:pPr>
              <w:pStyle w:val="Compact"/>
              <w:jc w:val="left"/>
            </w:pPr>
            <w:r>
              <w:t xml:space="preserve">2.3</w:t>
            </w:r>
          </w:p>
        </w:tc>
      </w:tr>
      <w:tr>
        <w:tc>
          <w:tcPr/>
          <w:p>
            <w:pPr>
              <w:pStyle w:val="Compact"/>
              <w:jc w:val="left"/>
            </w:pPr>
            <w:r>
              <w:t xml:space="preserve">Bảng 2.3.6.2</w:t>
            </w:r>
          </w:p>
        </w:tc>
        <w:tc>
          <w:tcPr/>
          <w:p>
            <w:pPr>
              <w:pStyle w:val="Compact"/>
              <w:jc w:val="left"/>
            </w:pPr>
            <w:r>
              <w:t xml:space="preserve">Phân biệt 3 chỉ số tham nhũng WBES, Bribery vs Graft</w:t>
            </w:r>
          </w:p>
        </w:tc>
        <w:tc>
          <w:tcPr/>
          <w:p>
            <w:pPr>
              <w:pStyle w:val="Compact"/>
              <w:jc w:val="left"/>
            </w:pPr>
            <w:r>
              <w:t xml:space="preserve">2.3</w:t>
            </w:r>
          </w:p>
        </w:tc>
      </w:tr>
      <w:tr>
        <w:tc>
          <w:tcPr/>
          <w:p>
            <w:pPr>
              <w:pStyle w:val="Compact"/>
              <w:jc w:val="left"/>
            </w:pPr>
            <w:r>
              <w:t xml:space="preserve">Bảng 2.3.6.3</w:t>
            </w:r>
          </w:p>
        </w:tc>
        <w:tc>
          <w:tcPr/>
          <w:p>
            <w:pPr>
              <w:pStyle w:val="Compact"/>
              <w:jc w:val="left"/>
            </w:pPr>
            <w:r>
              <w:t xml:space="preserve">Khung phân loại 9 ngành ISIC Rev. 4</w:t>
            </w:r>
          </w:p>
        </w:tc>
        <w:tc>
          <w:tcPr/>
          <w:p>
            <w:pPr>
              <w:pStyle w:val="Compact"/>
              <w:jc w:val="left"/>
            </w:pPr>
            <w:r>
              <w:t xml:space="preserve">2.3</w:t>
            </w:r>
          </w:p>
        </w:tc>
      </w:tr>
      <w:tr>
        <w:tc>
          <w:tcPr/>
          <w:p>
            <w:pPr>
              <w:pStyle w:val="Compact"/>
              <w:jc w:val="left"/>
            </w:pPr>
            <w:r>
              <w:t xml:space="preserve">Bảng 2.3.6.4</w:t>
            </w:r>
          </w:p>
        </w:tc>
        <w:tc>
          <w:tcPr/>
          <w:p>
            <w:pPr>
              <w:pStyle w:val="Compact"/>
              <w:jc w:val="left"/>
            </w:pPr>
            <w:r>
              <w:t xml:space="preserve">Phân nhóm con Emerging, số liệu tổng hợp 2009-2025</w:t>
            </w:r>
          </w:p>
        </w:tc>
        <w:tc>
          <w:tcPr/>
          <w:p>
            <w:pPr>
              <w:pStyle w:val="Compact"/>
              <w:jc w:val="left"/>
            </w:pPr>
            <w:r>
              <w:t xml:space="preserve">2.3</w:t>
            </w:r>
          </w:p>
        </w:tc>
      </w:tr>
      <w:tr>
        <w:tc>
          <w:tcPr/>
          <w:p>
            <w:pPr>
              <w:pStyle w:val="Compact"/>
              <w:jc w:val="left"/>
            </w:pPr>
            <w:r>
              <w:t xml:space="preserve">Bảng 2.3.6.5</w:t>
            </w:r>
          </w:p>
        </w:tc>
        <w:tc>
          <w:tcPr/>
          <w:p>
            <w:pPr>
              <w:pStyle w:val="Compact"/>
              <w:jc w:val="left"/>
            </w:pPr>
            <w:r>
              <w:t xml:space="preserve">14 quốc gia trong đợt khảo sát 2025</w:t>
            </w:r>
          </w:p>
        </w:tc>
        <w:tc>
          <w:tcPr/>
          <w:p>
            <w:pPr>
              <w:pStyle w:val="Compact"/>
              <w:jc w:val="left"/>
            </w:pPr>
            <w:r>
              <w:t xml:space="preserve">2.3</w:t>
            </w:r>
          </w:p>
        </w:tc>
      </w:tr>
      <w:tr>
        <w:tc>
          <w:tcPr/>
          <w:p>
            <w:pPr>
              <w:pStyle w:val="Compact"/>
              <w:jc w:val="left"/>
            </w:pPr>
            <w:r>
              <w:t xml:space="preserve">Bảng 2.3.7.1</w:t>
            </w:r>
          </w:p>
        </w:tc>
        <w:tc>
          <w:tcPr/>
          <w:p>
            <w:pPr>
              <w:pStyle w:val="Compact"/>
              <w:jc w:val="left"/>
            </w:pPr>
            <w:r>
              <w:t xml:space="preserve">Ma trận so sánh đa chiều bảy tiểu cảnh điển hình</w:t>
            </w:r>
          </w:p>
        </w:tc>
        <w:tc>
          <w:tcPr/>
          <w:p>
            <w:pPr>
              <w:pStyle w:val="Compact"/>
              <w:jc w:val="left"/>
            </w:pPr>
            <w:r>
              <w:t xml:space="preserve">2.3</w:t>
            </w:r>
          </w:p>
        </w:tc>
      </w:tr>
      <w:tr>
        <w:tc>
          <w:tcPr/>
          <w:p>
            <w:pPr>
              <w:pStyle w:val="Compact"/>
              <w:jc w:val="left"/>
            </w:pPr>
            <w:r>
              <w:t xml:space="preserve">Bảng 2.3.8.1</w:t>
            </w:r>
          </w:p>
        </w:tc>
        <w:tc>
          <w:tcPr/>
          <w:p>
            <w:pPr>
              <w:pStyle w:val="Compact"/>
              <w:jc w:val="left"/>
            </w:pPr>
            <w:r>
              <w:t xml:space="preserve">Hệ số tương quan Pearson (n=101.185)</w:t>
            </w:r>
          </w:p>
        </w:tc>
        <w:tc>
          <w:tcPr/>
          <w:p>
            <w:pPr>
              <w:pStyle w:val="Compact"/>
              <w:jc w:val="left"/>
            </w:pPr>
            <w:r>
              <w:t xml:space="preserve">2.3</w:t>
            </w:r>
          </w:p>
        </w:tc>
      </w:tr>
      <w:tr>
        <w:tc>
          <w:tcPr/>
          <w:p>
            <w:pPr>
              <w:pStyle w:val="Compact"/>
              <w:jc w:val="left"/>
            </w:pPr>
            <w:r>
              <w:t xml:space="preserve">Bảng 2.3.8.2</w:t>
            </w:r>
          </w:p>
        </w:tc>
        <w:tc>
          <w:tcPr/>
          <w:p>
            <w:pPr>
              <w:pStyle w:val="Compact"/>
              <w:jc w:val="left"/>
            </w:pPr>
            <w:r>
              <w:t xml:space="preserve">Pattern giới tính trong lãnh đạo cấp cao và sở hữu, phân tầng theo khu vực</w:t>
            </w:r>
          </w:p>
        </w:tc>
        <w:tc>
          <w:tcPr/>
          <w:p>
            <w:pPr>
              <w:pStyle w:val="Compact"/>
              <w:jc w:val="left"/>
            </w:pPr>
            <w:r>
              <w:t xml:space="preserve">2.3</w:t>
            </w:r>
          </w:p>
        </w:tc>
      </w:tr>
    </w:tbl>
    <w:p>
      <w:r>
        <w:pict>
          <v:rect style="width:0;height:1.5pt" o:hralign="center" o:hrstd="t" o:hr="t"/>
        </w:pict>
      </w:r>
    </w:p>
    <w:bookmarkEnd w:id="24"/>
    <w:bookmarkStart w:id="25" w:name="danh-mục-hình"/>
    <w:p>
      <w:pPr>
        <w:pStyle w:val="Heading2"/>
      </w:pPr>
      <w:r>
        <w:t xml:space="preserve">DANH MỤC HÌNH</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Hình</w:t>
            </w:r>
          </w:p>
        </w:tc>
        <w:tc>
          <w:tcPr/>
          <w:p>
            <w:pPr>
              <w:pStyle w:val="Compact"/>
              <w:jc w:val="left"/>
            </w:pPr>
            <w:r>
              <w:t xml:space="preserve">Tiêu đề</w:t>
            </w:r>
          </w:p>
        </w:tc>
        <w:tc>
          <w:tcPr/>
          <w:p>
            <w:pPr>
              <w:pStyle w:val="Compact"/>
              <w:jc w:val="left"/>
            </w:pPr>
            <w:r>
              <w:t xml:space="preserve">Trang</w:t>
            </w:r>
          </w:p>
        </w:tc>
      </w:tr>
      <w:tr>
        <w:tc>
          <w:tcPr/>
          <w:p>
            <w:pPr>
              <w:pStyle w:val="Compact"/>
              <w:jc w:val="left"/>
            </w:pPr>
            <w:r>
              <w:t xml:space="preserve">Hình 2.3.3.1</w:t>
            </w:r>
          </w:p>
        </w:tc>
        <w:tc>
          <w:tcPr/>
          <w:p>
            <w:pPr>
              <w:pStyle w:val="Compact"/>
              <w:jc w:val="left"/>
            </w:pPr>
            <w:r>
              <w:t xml:space="preserve">Phân bố mẫu 101.185 doanh nghiệp xuyên 17 năm (2009-2025) theo 3 thế hệ schema WBES</w:t>
            </w:r>
          </w:p>
        </w:tc>
        <w:tc>
          <w:tcPr/>
          <w:p>
            <w:pPr>
              <w:pStyle w:val="Compact"/>
              <w:jc w:val="left"/>
            </w:pPr>
            <w:r>
              <w:t xml:space="preserve">2.3</w:t>
            </w:r>
          </w:p>
        </w:tc>
      </w:tr>
      <w:tr>
        <w:tc>
          <w:tcPr/>
          <w:p>
            <w:pPr>
              <w:pStyle w:val="Compact"/>
              <w:jc w:val="left"/>
            </w:pPr>
            <w:r>
              <w:t xml:space="preserve">Hình 2.3.3.2</w:t>
            </w:r>
          </w:p>
        </w:tc>
        <w:tc>
          <w:tcPr/>
          <w:p>
            <w:pPr>
              <w:pStyle w:val="Compact"/>
              <w:jc w:val="left"/>
            </w:pPr>
            <w:r>
              <w:t xml:space="preserve">Phân bố pool 5 phân nhóm con thể chế (Advanced tổng hợp I+II; n=101.185 doanh nghiệp)</w:t>
            </w:r>
          </w:p>
        </w:tc>
        <w:tc>
          <w:tcPr/>
          <w:p>
            <w:pPr>
              <w:pStyle w:val="Compact"/>
              <w:jc w:val="left"/>
            </w:pPr>
            <w:r>
              <w:t xml:space="preserve">2.3</w:t>
            </w:r>
          </w:p>
        </w:tc>
      </w:tr>
      <w:tr>
        <w:tc>
          <w:tcPr/>
          <w:p>
            <w:pPr>
              <w:pStyle w:val="Compact"/>
              <w:jc w:val="left"/>
            </w:pPr>
            <w:r>
              <w:t xml:space="preserve">Hình 2.3.3.3</w:t>
            </w:r>
          </w:p>
        </w:tc>
        <w:tc>
          <w:tcPr/>
          <w:p>
            <w:pPr>
              <w:pStyle w:val="Compact"/>
              <w:jc w:val="left"/>
            </w:pPr>
            <w:r>
              <w:t xml:space="preserve">Phân phối năng suất theo 6 phân nhóm con (kernel density, n=101.185)</w:t>
            </w:r>
          </w:p>
        </w:tc>
        <w:tc>
          <w:tcPr/>
          <w:p>
            <w:pPr>
              <w:pStyle w:val="Compact"/>
              <w:jc w:val="left"/>
            </w:pPr>
            <w:r>
              <w:t xml:space="preserve">2.3</w:t>
            </w:r>
          </w:p>
        </w:tc>
      </w:tr>
      <w:tr>
        <w:tc>
          <w:tcPr/>
          <w:p>
            <w:pPr>
              <w:pStyle w:val="Compact"/>
              <w:jc w:val="left"/>
            </w:pPr>
            <w:r>
              <w:t xml:space="preserve">Hình 2.3.4.1</w:t>
            </w:r>
          </w:p>
        </w:tc>
        <w:tc>
          <w:tcPr/>
          <w:p>
            <w:pPr>
              <w:pStyle w:val="Compact"/>
              <w:jc w:val="left"/>
            </w:pPr>
            <w:r>
              <w:t xml:space="preserve">Slope chart 2009-2012 vs 2018-2025 (Δ điểm phần trăm 5 chỉ số)</w:t>
            </w:r>
          </w:p>
        </w:tc>
        <w:tc>
          <w:tcPr/>
          <w:p>
            <w:pPr>
              <w:pStyle w:val="Compact"/>
              <w:jc w:val="left"/>
            </w:pPr>
            <w:r>
              <w:t xml:space="preserve">2.3</w:t>
            </w:r>
          </w:p>
        </w:tc>
      </w:tr>
      <w:tr>
        <w:tc>
          <w:tcPr/>
          <w:p>
            <w:pPr>
              <w:pStyle w:val="Compact"/>
              <w:jc w:val="left"/>
            </w:pPr>
            <w:r>
              <w:t xml:space="preserve">Hình 2.3.5.1</w:t>
            </w:r>
          </w:p>
        </w:tc>
        <w:tc>
          <w:tcPr/>
          <w:p>
            <w:pPr>
              <w:pStyle w:val="Compact"/>
              <w:jc w:val="left"/>
            </w:pPr>
            <w:r>
              <w:t xml:space="preserve">Phân phối quy mô doanh nghiệp theo phân nhóm con (n=101.185)</w:t>
            </w:r>
          </w:p>
        </w:tc>
        <w:tc>
          <w:tcPr/>
          <w:p>
            <w:pPr>
              <w:pStyle w:val="Compact"/>
              <w:jc w:val="left"/>
            </w:pPr>
            <w:r>
              <w:t xml:space="preserve">2.3</w:t>
            </w:r>
          </w:p>
        </w:tc>
      </w:tr>
      <w:tr>
        <w:tc>
          <w:tcPr/>
          <w:p>
            <w:pPr>
              <w:pStyle w:val="Compact"/>
              <w:jc w:val="left"/>
            </w:pPr>
            <w:r>
              <w:t xml:space="preserve">Hình 2.3.6.1</w:t>
            </w:r>
          </w:p>
        </w:tc>
        <w:tc>
          <w:tcPr/>
          <w:p>
            <w:pPr>
              <w:pStyle w:val="Compact"/>
              <w:jc w:val="left"/>
            </w:pPr>
            <w:r>
              <w:t xml:space="preserve">Spider chart 5 chiều × 2 mốc thời gian (Advanced, Emerging, SIDS)</w:t>
            </w:r>
          </w:p>
        </w:tc>
        <w:tc>
          <w:tcPr/>
          <w:p>
            <w:pPr>
              <w:pStyle w:val="Compact"/>
              <w:jc w:val="left"/>
            </w:pPr>
            <w:r>
              <w:t xml:space="preserve">2.3</w:t>
            </w:r>
          </w:p>
        </w:tc>
      </w:tr>
      <w:tr>
        <w:tc>
          <w:tcPr/>
          <w:p>
            <w:pPr>
              <w:pStyle w:val="Compact"/>
              <w:jc w:val="left"/>
            </w:pPr>
            <w:r>
              <w:t xml:space="preserve">Hình 2.3.7.1</w:t>
            </w:r>
          </w:p>
        </w:tc>
        <w:tc>
          <w:tcPr/>
          <w:p>
            <w:pPr>
              <w:pStyle w:val="Compact"/>
              <w:jc w:val="left"/>
            </w:pPr>
            <w:r>
              <w:t xml:space="preserve">Mongolia: Evolution 2009-2025 (4 đợt khảo sát WBES)</w:t>
            </w:r>
          </w:p>
        </w:tc>
        <w:tc>
          <w:tcPr/>
          <w:p>
            <w:pPr>
              <w:pStyle w:val="Compact"/>
              <w:jc w:val="left"/>
            </w:pPr>
            <w:r>
              <w:t xml:space="preserve">2.3</w:t>
            </w:r>
          </w:p>
        </w:tc>
      </w:tr>
    </w:tbl>
    <w:p>
      <w:r>
        <w:pict>
          <v:rect style="width:0;height:1.5pt" o:hralign="center" o:hrstd="t" o:hr="t"/>
        </w:pict>
      </w:r>
    </w:p>
    <w:bookmarkEnd w:id="25"/>
    <w:bookmarkStart w:id="26" w:name="danh-mục-từ-viết-tắt"/>
    <w:p>
      <w:pPr>
        <w:pStyle w:val="Heading2"/>
      </w:pPr>
      <w:r>
        <w:t xml:space="preserve">DANH MỤC TỪ VIẾT TẮT</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Từ viết tắt</w:t>
            </w:r>
          </w:p>
        </w:tc>
        <w:tc>
          <w:tcPr/>
          <w:p>
            <w:pPr>
              <w:pStyle w:val="Compact"/>
              <w:jc w:val="left"/>
            </w:pPr>
            <w:r>
              <w:t xml:space="preserve">Tiếng Anh</w:t>
            </w:r>
          </w:p>
        </w:tc>
        <w:tc>
          <w:tcPr/>
          <w:p>
            <w:pPr>
              <w:pStyle w:val="Compact"/>
              <w:jc w:val="left"/>
            </w:pPr>
            <w:r>
              <w:t xml:space="preserve">Tiếng Việt</w:t>
            </w:r>
          </w:p>
        </w:tc>
      </w:tr>
      <w:tr>
        <w:tc>
          <w:tcPr/>
          <w:p>
            <w:pPr>
              <w:pStyle w:val="Compact"/>
              <w:jc w:val="left"/>
            </w:pPr>
            <w:r>
              <w:t xml:space="preserve">ADB</w:t>
            </w:r>
          </w:p>
        </w:tc>
        <w:tc>
          <w:tcPr/>
          <w:p>
            <w:pPr>
              <w:pStyle w:val="Compact"/>
              <w:jc w:val="left"/>
            </w:pPr>
            <w:r>
              <w:t xml:space="preserve">Asian Development Bank</w:t>
            </w:r>
          </w:p>
        </w:tc>
        <w:tc>
          <w:tcPr/>
          <w:p>
            <w:pPr>
              <w:pStyle w:val="Compact"/>
              <w:jc w:val="left"/>
            </w:pPr>
            <w:r>
              <w:t xml:space="preserve">Ngân hàng Phát triển Châu Á</w:t>
            </w:r>
          </w:p>
        </w:tc>
      </w:tr>
      <w:tr>
        <w:tc>
          <w:tcPr/>
          <w:p>
            <w:pPr>
              <w:pStyle w:val="Compact"/>
              <w:jc w:val="left"/>
            </w:pPr>
            <w:r>
              <w:t xml:space="preserve">AIPI</w:t>
            </w:r>
          </w:p>
        </w:tc>
        <w:tc>
          <w:tcPr/>
          <w:p>
            <w:pPr>
              <w:pStyle w:val="Compact"/>
              <w:jc w:val="left"/>
            </w:pPr>
            <w:r>
              <w:t xml:space="preserve">AI Productivity Impact</w:t>
            </w:r>
          </w:p>
        </w:tc>
        <w:tc>
          <w:tcPr/>
          <w:p>
            <w:pPr>
              <w:pStyle w:val="Compact"/>
              <w:jc w:val="left"/>
            </w:pPr>
            <w:r>
              <w:t xml:space="preserve">Tác động năng suất của AI</w:t>
            </w:r>
          </w:p>
        </w:tc>
      </w:tr>
      <w:tr>
        <w:tc>
          <w:tcPr/>
          <w:p>
            <w:pPr>
              <w:pStyle w:val="Compact"/>
              <w:jc w:val="left"/>
            </w:pPr>
            <w:r>
              <w:t xml:space="preserve">ASEAN</w:t>
            </w:r>
          </w:p>
        </w:tc>
        <w:tc>
          <w:tcPr/>
          <w:p>
            <w:pPr>
              <w:pStyle w:val="Compact"/>
              <w:jc w:val="left"/>
            </w:pPr>
            <w:r>
              <w:t xml:space="preserve">Association of Southeast Asian Nations</w:t>
            </w:r>
          </w:p>
        </w:tc>
        <w:tc>
          <w:tcPr/>
          <w:p>
            <w:pPr>
              <w:pStyle w:val="Compact"/>
              <w:jc w:val="left"/>
            </w:pPr>
            <w:r>
              <w:t xml:space="preserve">Hiệp hội các quốc gia Đông Nam Á</w:t>
            </w:r>
          </w:p>
        </w:tc>
      </w:tr>
      <w:tr>
        <w:tc>
          <w:tcPr/>
          <w:p>
            <w:pPr>
              <w:pStyle w:val="Compact"/>
              <w:jc w:val="left"/>
            </w:pPr>
            <w:r>
              <w:t xml:space="preserve">BEE</w:t>
            </w:r>
          </w:p>
        </w:tc>
        <w:tc>
          <w:tcPr/>
          <w:p>
            <w:pPr>
              <w:pStyle w:val="Compact"/>
              <w:jc w:val="left"/>
            </w:pPr>
            <w:r>
              <w:t xml:space="preserve">Business Environment and Enterprise</w:t>
            </w:r>
          </w:p>
        </w:tc>
        <w:tc>
          <w:tcPr/>
          <w:p>
            <w:pPr>
              <w:pStyle w:val="Compact"/>
              <w:jc w:val="left"/>
            </w:pPr>
            <w:r>
              <w:t xml:space="preserve">-</w:t>
            </w:r>
          </w:p>
        </w:tc>
      </w:tr>
      <w:tr>
        <w:tc>
          <w:tcPr/>
          <w:p>
            <w:pPr>
              <w:pStyle w:val="Compact"/>
              <w:jc w:val="left"/>
            </w:pPr>
            <w:r>
              <w:t xml:space="preserve">BREADY</w:t>
            </w:r>
          </w:p>
        </w:tc>
        <w:tc>
          <w:tcPr/>
          <w:p>
            <w:pPr>
              <w:pStyle w:val="Compact"/>
              <w:jc w:val="left"/>
            </w:pPr>
            <w:r>
              <w:t xml:space="preserve">WBES 2018+ schema</w:t>
            </w:r>
          </w:p>
        </w:tc>
        <w:tc>
          <w:tcPr/>
          <w:p>
            <w:pPr>
              <w:pStyle w:val="Compact"/>
              <w:jc w:val="left"/>
            </w:pPr>
            <w:r>
              <w:t xml:space="preserve">Thế hệ bảng hỏi WBES mới từ 2018</w:t>
            </w:r>
          </w:p>
        </w:tc>
      </w:tr>
      <w:tr>
        <w:tc>
          <w:tcPr/>
          <w:p>
            <w:pPr>
              <w:pStyle w:val="Compact"/>
              <w:jc w:val="left"/>
            </w:pPr>
            <w:r>
              <w:t xml:space="preserve">CAGR</w:t>
            </w:r>
          </w:p>
        </w:tc>
        <w:tc>
          <w:tcPr/>
          <w:p>
            <w:pPr>
              <w:pStyle w:val="Compact"/>
              <w:jc w:val="left"/>
            </w:pPr>
            <w:r>
              <w:t xml:space="preserve">Compound Annual Growth Rate</w:t>
            </w:r>
          </w:p>
        </w:tc>
        <w:tc>
          <w:tcPr/>
          <w:p>
            <w:pPr>
              <w:pStyle w:val="Compact"/>
              <w:jc w:val="left"/>
            </w:pPr>
            <w:r>
              <w:t xml:space="preserve">Tốc độ tăng trưởng hàng năm kép</w:t>
            </w:r>
          </w:p>
        </w:tc>
      </w:tr>
      <w:tr>
        <w:tc>
          <w:tcPr/>
          <w:p>
            <w:pPr>
              <w:pStyle w:val="Compact"/>
              <w:jc w:val="left"/>
            </w:pPr>
            <w:r>
              <w:t xml:space="preserve">CDCM</w:t>
            </w:r>
          </w:p>
        </w:tc>
        <w:tc>
          <w:tcPr/>
          <w:p>
            <w:pPr>
              <w:pStyle w:val="Compact"/>
              <w:jc w:val="left"/>
            </w:pPr>
            <w:r>
              <w:t xml:space="preserve">Context-Contingent Digital-and-Capability Model</w:t>
            </w:r>
          </w:p>
        </w:tc>
        <w:tc>
          <w:tcPr/>
          <w:p>
            <w:pPr>
              <w:pStyle w:val="Compact"/>
              <w:jc w:val="left"/>
            </w:pPr>
            <w:r>
              <w:t xml:space="preserve">Mô hình Áp dụng số và Năng lực phụ thuộc bối cảnh</w:t>
            </w:r>
          </w:p>
        </w:tc>
      </w:tr>
      <w:tr>
        <w:tc>
          <w:tcPr/>
          <w:p>
            <w:pPr>
              <w:pStyle w:val="Compact"/>
              <w:jc w:val="left"/>
            </w:pPr>
            <w:r>
              <w:t xml:space="preserve">CĐ1</w:t>
            </w:r>
          </w:p>
        </w:tc>
        <w:tc>
          <w:tcPr/>
          <w:p>
            <w:pPr>
              <w:pStyle w:val="Compact"/>
              <w:jc w:val="left"/>
            </w:pPr>
            <w:r>
              <w:t xml:space="preserve">Chuyên đề tiến sĩ số 1</w:t>
            </w:r>
          </w:p>
        </w:tc>
        <w:tc>
          <w:tcPr/>
          <w:p>
            <w:pPr>
              <w:pStyle w:val="Compact"/>
              <w:jc w:val="left"/>
            </w:pPr>
            <w:r>
              <w:t xml:space="preserve">Specialty Essay 1</w:t>
            </w:r>
          </w:p>
        </w:tc>
      </w:tr>
      <w:tr>
        <w:tc>
          <w:tcPr/>
          <w:p>
            <w:pPr>
              <w:pStyle w:val="Compact"/>
              <w:jc w:val="left"/>
            </w:pPr>
            <w:r>
              <w:t xml:space="preserve">CĐ2</w:t>
            </w:r>
          </w:p>
        </w:tc>
        <w:tc>
          <w:tcPr/>
          <w:p>
            <w:pPr>
              <w:pStyle w:val="Compact"/>
              <w:jc w:val="left"/>
            </w:pPr>
            <w:r>
              <w:t xml:space="preserve">Chuyên đề tiến sĩ số 2</w:t>
            </w:r>
          </w:p>
        </w:tc>
        <w:tc>
          <w:tcPr/>
          <w:p>
            <w:pPr>
              <w:pStyle w:val="Compact"/>
              <w:jc w:val="left"/>
            </w:pPr>
            <w:r>
              <w:t xml:space="preserve">Specialty Essay 2</w:t>
            </w:r>
          </w:p>
        </w:tc>
      </w:tr>
      <w:tr>
        <w:tc>
          <w:tcPr/>
          <w:p>
            <w:pPr>
              <w:pStyle w:val="Compact"/>
              <w:jc w:val="left"/>
            </w:pPr>
            <w:r>
              <w:t xml:space="preserve">CIEM</w:t>
            </w:r>
          </w:p>
        </w:tc>
        <w:tc>
          <w:tcPr/>
          <w:p>
            <w:pPr>
              <w:pStyle w:val="Compact"/>
              <w:jc w:val="left"/>
            </w:pPr>
            <w:r>
              <w:t xml:space="preserve">Central Institute for Economic Management</w:t>
            </w:r>
          </w:p>
        </w:tc>
        <w:tc>
          <w:tcPr/>
          <w:p>
            <w:pPr>
              <w:pStyle w:val="Compact"/>
              <w:jc w:val="left"/>
            </w:pPr>
            <w:r>
              <w:t xml:space="preserve">Viện Nghiên cứu Quản lý Kinh tế Trung ương</w:t>
            </w:r>
          </w:p>
        </w:tc>
      </w:tr>
      <w:tr>
        <w:tc>
          <w:tcPr/>
          <w:p>
            <w:pPr>
              <w:pStyle w:val="Compact"/>
              <w:jc w:val="left"/>
            </w:pPr>
            <w:r>
              <w:t xml:space="preserve">CRM</w:t>
            </w:r>
          </w:p>
        </w:tc>
        <w:tc>
          <w:tcPr/>
          <w:p>
            <w:pPr>
              <w:pStyle w:val="Compact"/>
              <w:jc w:val="left"/>
            </w:pPr>
            <w:r>
              <w:t xml:space="preserve">Customer Relationship Management</w:t>
            </w:r>
          </w:p>
        </w:tc>
        <w:tc>
          <w:tcPr/>
          <w:p>
            <w:pPr>
              <w:pStyle w:val="Compact"/>
              <w:jc w:val="left"/>
            </w:pPr>
            <w:r>
              <w:t xml:space="preserve">Quản lý quan hệ khách hàng</w:t>
            </w:r>
          </w:p>
        </w:tc>
      </w:tr>
      <w:tr>
        <w:tc>
          <w:tcPr/>
          <w:p>
            <w:pPr>
              <w:pStyle w:val="Compact"/>
              <w:jc w:val="left"/>
            </w:pPr>
            <w:r>
              <w:t xml:space="preserve">DAI</w:t>
            </w:r>
          </w:p>
        </w:tc>
        <w:tc>
          <w:tcPr/>
          <w:p>
            <w:pPr>
              <w:pStyle w:val="Compact"/>
              <w:jc w:val="left"/>
            </w:pPr>
            <w:r>
              <w:t xml:space="preserve">Digital Adoption Index</w:t>
            </w:r>
          </w:p>
        </w:tc>
        <w:tc>
          <w:tcPr/>
          <w:p>
            <w:pPr>
              <w:pStyle w:val="Compact"/>
              <w:jc w:val="left"/>
            </w:pPr>
            <w:r>
              <w:t xml:space="preserve">Chỉ số áp dụng số</w:t>
            </w:r>
          </w:p>
        </w:tc>
      </w:tr>
      <w:tr>
        <w:tc>
          <w:tcPr/>
          <w:p>
            <w:pPr>
              <w:pStyle w:val="Compact"/>
              <w:jc w:val="left"/>
            </w:pPr>
            <w:r>
              <w:t xml:space="preserve">DAI (Tier-1)</w:t>
            </w:r>
          </w:p>
        </w:tc>
        <w:tc>
          <w:tcPr/>
          <w:p>
            <w:pPr>
              <w:pStyle w:val="Compact"/>
              <w:jc w:val="left"/>
            </w:pPr>
            <w:r>
              <w:t xml:space="preserve">Website binary</w:t>
            </w:r>
          </w:p>
        </w:tc>
        <w:tc>
          <w:tcPr/>
          <w:p>
            <w:pPr>
              <w:pStyle w:val="Compact"/>
              <w:jc w:val="left"/>
            </w:pPr>
            <w:r>
              <w:t xml:space="preserve">Sự hiện diện số cơ bản</w:t>
            </w:r>
          </w:p>
        </w:tc>
      </w:tr>
      <w:tr>
        <w:tc>
          <w:tcPr/>
          <w:p>
            <w:pPr>
              <w:pStyle w:val="Compact"/>
              <w:jc w:val="left"/>
            </w:pPr>
            <w:r>
              <w:t xml:space="preserve">DAI (Tier-2)</w:t>
            </w:r>
          </w:p>
        </w:tc>
        <w:tc>
          <w:tcPr/>
          <w:p>
            <w:pPr>
              <w:pStyle w:val="Compact"/>
              <w:jc w:val="left"/>
            </w:pPr>
            <w:r>
              <w:t xml:space="preserve">Website + e-payment composite</w:t>
            </w:r>
          </w:p>
        </w:tc>
        <w:tc>
          <w:tcPr/>
          <w:p>
            <w:pPr>
              <w:pStyle w:val="Compact"/>
              <w:jc w:val="left"/>
            </w:pPr>
            <w:r>
              <w:t xml:space="preserve">Chuyển đổi số cơ bản</w:t>
            </w:r>
          </w:p>
        </w:tc>
      </w:tr>
      <w:tr>
        <w:tc>
          <w:tcPr/>
          <w:p>
            <w:pPr>
              <w:pStyle w:val="Compact"/>
              <w:jc w:val="left"/>
            </w:pPr>
            <w:r>
              <w:t xml:space="preserve">DPL</w:t>
            </w:r>
          </w:p>
        </w:tc>
        <w:tc>
          <w:tcPr/>
          <w:p>
            <w:pPr>
              <w:pStyle w:val="Compact"/>
              <w:jc w:val="left"/>
            </w:pPr>
            <w:r>
              <w:t xml:space="preserve">Digital Paradox Lifecycle</w:t>
            </w:r>
          </w:p>
        </w:tc>
        <w:tc>
          <w:tcPr/>
          <w:p>
            <w:pPr>
              <w:pStyle w:val="Compact"/>
              <w:jc w:val="left"/>
            </w:pPr>
            <w:r>
              <w:t xml:space="preserve">Vòng đời nghịch lý số</w:t>
            </w:r>
          </w:p>
        </w:tc>
      </w:tr>
      <w:tr>
        <w:tc>
          <w:tcPr/>
          <w:p>
            <w:pPr>
              <w:pStyle w:val="Compact"/>
              <w:jc w:val="left"/>
            </w:pPr>
            <w:r>
              <w:t xml:space="preserve">EAP</w:t>
            </w:r>
          </w:p>
        </w:tc>
        <w:tc>
          <w:tcPr/>
          <w:p>
            <w:pPr>
              <w:pStyle w:val="Compact"/>
              <w:jc w:val="left"/>
            </w:pPr>
            <w:r>
              <w:t xml:space="preserve">East Asia and Pacific</w:t>
            </w:r>
          </w:p>
        </w:tc>
        <w:tc>
          <w:tcPr/>
          <w:p>
            <w:pPr>
              <w:pStyle w:val="Compact"/>
              <w:jc w:val="left"/>
            </w:pPr>
            <w:r>
              <w:t xml:space="preserve">Đông Á và Thái Bình Dương</w:t>
            </w:r>
          </w:p>
        </w:tc>
      </w:tr>
      <w:tr>
        <w:tc>
          <w:tcPr/>
          <w:p>
            <w:pPr>
              <w:pStyle w:val="Compact"/>
              <w:jc w:val="left"/>
            </w:pPr>
            <w:r>
              <w:t xml:space="preserve">ECA</w:t>
            </w:r>
          </w:p>
        </w:tc>
        <w:tc>
          <w:tcPr/>
          <w:p>
            <w:pPr>
              <w:pStyle w:val="Compact"/>
              <w:jc w:val="left"/>
            </w:pPr>
            <w:r>
              <w:t xml:space="preserve">Europe and Central Asia</w:t>
            </w:r>
          </w:p>
        </w:tc>
        <w:tc>
          <w:tcPr/>
          <w:p>
            <w:pPr>
              <w:pStyle w:val="Compact"/>
              <w:jc w:val="left"/>
            </w:pPr>
            <w:r>
              <w:t xml:space="preserve">Châu Âu và Trung Á</w:t>
            </w:r>
          </w:p>
        </w:tc>
      </w:tr>
      <w:tr>
        <w:tc>
          <w:tcPr/>
          <w:p>
            <w:pPr>
              <w:pStyle w:val="Compact"/>
              <w:jc w:val="left"/>
            </w:pPr>
            <w:r>
              <w:t xml:space="preserve">ERP</w:t>
            </w:r>
          </w:p>
        </w:tc>
        <w:tc>
          <w:tcPr/>
          <w:p>
            <w:pPr>
              <w:pStyle w:val="Compact"/>
              <w:jc w:val="left"/>
            </w:pPr>
            <w:r>
              <w:t xml:space="preserve">Enterprise Resource Planning</w:t>
            </w:r>
          </w:p>
        </w:tc>
        <w:tc>
          <w:tcPr/>
          <w:p>
            <w:pPr>
              <w:pStyle w:val="Compact"/>
              <w:jc w:val="left"/>
            </w:pPr>
            <w:r>
              <w:t xml:space="preserve">Hoạch định nguồn lực doanh nghiệp</w:t>
            </w:r>
          </w:p>
        </w:tc>
      </w:tr>
      <w:tr>
        <w:tc>
          <w:tcPr/>
          <w:p>
            <w:pPr>
              <w:pStyle w:val="Compact"/>
              <w:jc w:val="left"/>
            </w:pPr>
            <w:r>
              <w:t xml:space="preserve">FDA</w:t>
            </w:r>
          </w:p>
        </w:tc>
        <w:tc>
          <w:tcPr/>
          <w:p>
            <w:pPr>
              <w:pStyle w:val="Compact"/>
              <w:jc w:val="left"/>
            </w:pPr>
            <w:r>
              <w:t xml:space="preserve">Foundational Digital Adoption</w:t>
            </w:r>
          </w:p>
        </w:tc>
        <w:tc>
          <w:tcPr/>
          <w:p>
            <w:pPr>
              <w:pStyle w:val="Compact"/>
              <w:jc w:val="left"/>
            </w:pPr>
            <w:r>
              <w:t xml:space="preserve">Áp dụng số nền tảng</w:t>
            </w:r>
          </w:p>
        </w:tc>
      </w:tr>
      <w:tr>
        <w:tc>
          <w:tcPr/>
          <w:p>
            <w:pPr>
              <w:pStyle w:val="Compact"/>
              <w:jc w:val="left"/>
            </w:pPr>
            <w:r>
              <w:t xml:space="preserve">FDI</w:t>
            </w:r>
          </w:p>
        </w:tc>
        <w:tc>
          <w:tcPr/>
          <w:p>
            <w:pPr>
              <w:pStyle w:val="Compact"/>
              <w:jc w:val="left"/>
            </w:pPr>
            <w:r>
              <w:t xml:space="preserve">Foreign Direct Investment</w:t>
            </w:r>
          </w:p>
        </w:tc>
        <w:tc>
          <w:tcPr/>
          <w:p>
            <w:pPr>
              <w:pStyle w:val="Compact"/>
              <w:jc w:val="left"/>
            </w:pPr>
            <w:r>
              <w:t xml:space="preserve">Đầu tư trực tiếp nước ngoài</w:t>
            </w:r>
          </w:p>
        </w:tc>
      </w:tr>
      <w:tr>
        <w:tc>
          <w:tcPr/>
          <w:p>
            <w:pPr>
              <w:pStyle w:val="Compact"/>
              <w:jc w:val="left"/>
            </w:pPr>
            <w:r>
              <w:t xml:space="preserve">FSTS</w:t>
            </w:r>
          </w:p>
        </w:tc>
        <w:tc>
          <w:tcPr/>
          <w:p>
            <w:pPr>
              <w:pStyle w:val="Compact"/>
              <w:jc w:val="left"/>
            </w:pPr>
            <w:r>
              <w:t xml:space="preserve">Foreign Trade Sales to Total Sales</w:t>
            </w:r>
          </w:p>
        </w:tc>
        <w:tc>
          <w:tcPr/>
          <w:p>
            <w:pPr>
              <w:pStyle w:val="Compact"/>
              <w:jc w:val="left"/>
            </w:pPr>
            <w:r>
              <w:t xml:space="preserve">Tỷ lệ doanh thu xuất khẩu trên tổng doanh thu</w:t>
            </w:r>
          </w:p>
        </w:tc>
      </w:tr>
      <w:tr>
        <w:tc>
          <w:tcPr/>
          <w:p>
            <w:pPr>
              <w:pStyle w:val="Compact"/>
              <w:jc w:val="left"/>
            </w:pPr>
            <w:r>
              <w:t xml:space="preserve">GCC</w:t>
            </w:r>
          </w:p>
        </w:tc>
        <w:tc>
          <w:tcPr/>
          <w:p>
            <w:pPr>
              <w:pStyle w:val="Compact"/>
              <w:jc w:val="left"/>
            </w:pPr>
            <w:r>
              <w:t xml:space="preserve">Gulf Cooperation Council</w:t>
            </w:r>
          </w:p>
        </w:tc>
        <w:tc>
          <w:tcPr/>
          <w:p>
            <w:pPr>
              <w:pStyle w:val="Compact"/>
              <w:jc w:val="left"/>
            </w:pPr>
            <w:r>
              <w:t xml:space="preserve">Hội đồng Hợp tác vùng Vịnh</w:t>
            </w:r>
          </w:p>
        </w:tc>
      </w:tr>
      <w:tr>
        <w:tc>
          <w:tcPr/>
          <w:p>
            <w:pPr>
              <w:pStyle w:val="Compact"/>
              <w:jc w:val="left"/>
            </w:pPr>
            <w:r>
              <w:t xml:space="preserve">GDP</w:t>
            </w:r>
          </w:p>
        </w:tc>
        <w:tc>
          <w:tcPr/>
          <w:p>
            <w:pPr>
              <w:pStyle w:val="Compact"/>
              <w:jc w:val="left"/>
            </w:pPr>
            <w:r>
              <w:t xml:space="preserve">Gross Domestic Product</w:t>
            </w:r>
          </w:p>
        </w:tc>
        <w:tc>
          <w:tcPr/>
          <w:p>
            <w:pPr>
              <w:pStyle w:val="Compact"/>
              <w:jc w:val="left"/>
            </w:pPr>
            <w:r>
              <w:t xml:space="preserve">Tổng sản phẩm quốc nội</w:t>
            </w:r>
          </w:p>
        </w:tc>
      </w:tr>
      <w:tr>
        <w:tc>
          <w:tcPr/>
          <w:p>
            <w:pPr>
              <w:pStyle w:val="Compact"/>
              <w:jc w:val="left"/>
            </w:pPr>
            <w:r>
              <w:t xml:space="preserve">GNI</w:t>
            </w:r>
          </w:p>
        </w:tc>
        <w:tc>
          <w:tcPr/>
          <w:p>
            <w:pPr>
              <w:pStyle w:val="Compact"/>
              <w:jc w:val="left"/>
            </w:pPr>
            <w:r>
              <w:t xml:space="preserve">Gross National Income</w:t>
            </w:r>
          </w:p>
        </w:tc>
        <w:tc>
          <w:tcPr/>
          <w:p>
            <w:pPr>
              <w:pStyle w:val="Compact"/>
              <w:jc w:val="left"/>
            </w:pPr>
            <w:r>
              <w:t xml:space="preserve">Tổng thu nhập quốc gia</w:t>
            </w:r>
          </w:p>
        </w:tc>
      </w:tr>
      <w:tr>
        <w:tc>
          <w:tcPr/>
          <w:p>
            <w:pPr>
              <w:pStyle w:val="Compact"/>
              <w:jc w:val="left"/>
            </w:pPr>
            <w:r>
              <w:t xml:space="preserve">GVC</w:t>
            </w:r>
          </w:p>
        </w:tc>
        <w:tc>
          <w:tcPr/>
          <w:p>
            <w:pPr>
              <w:pStyle w:val="Compact"/>
              <w:jc w:val="left"/>
            </w:pPr>
            <w:r>
              <w:t xml:space="preserve">Global Value Chain</w:t>
            </w:r>
          </w:p>
        </w:tc>
        <w:tc>
          <w:tcPr/>
          <w:p>
            <w:pPr>
              <w:pStyle w:val="Compact"/>
              <w:jc w:val="left"/>
            </w:pPr>
            <w:r>
              <w:t xml:space="preserve">Chuỗi giá trị toàn cầu</w:t>
            </w:r>
          </w:p>
        </w:tc>
      </w:tr>
      <w:tr>
        <w:tc>
          <w:tcPr/>
          <w:p>
            <w:pPr>
              <w:pStyle w:val="Compact"/>
              <w:jc w:val="left"/>
            </w:pPr>
            <w:r>
              <w:t xml:space="preserve">HC1</w:t>
            </w:r>
          </w:p>
        </w:tc>
        <w:tc>
          <w:tcPr/>
          <w:p>
            <w:pPr>
              <w:pStyle w:val="Compact"/>
              <w:jc w:val="left"/>
            </w:pPr>
            <w:r>
              <w:t xml:space="preserve">HC1 Robust Standard Errors</w:t>
            </w:r>
          </w:p>
        </w:tc>
        <w:tc>
          <w:tcPr/>
          <w:p>
            <w:pPr>
              <w:pStyle w:val="Compact"/>
              <w:jc w:val="left"/>
            </w:pPr>
            <w:r>
              <w:t xml:space="preserve">Sai số chuẩn vững HC1</w:t>
            </w:r>
          </w:p>
        </w:tc>
      </w:tr>
      <w:tr>
        <w:tc>
          <w:tcPr/>
          <w:p>
            <w:pPr>
              <w:pStyle w:val="Compact"/>
              <w:jc w:val="left"/>
            </w:pPr>
            <w:r>
              <w:t xml:space="preserve">ICRV</w:t>
            </w:r>
          </w:p>
        </w:tc>
        <w:tc>
          <w:tcPr/>
          <w:p>
            <w:pPr>
              <w:pStyle w:val="Compact"/>
              <w:jc w:val="left"/>
            </w:pPr>
            <w:r>
              <w:t xml:space="preserve">Institutional Context Regime Variation</w:t>
            </w:r>
          </w:p>
        </w:tc>
        <w:tc>
          <w:tcPr/>
          <w:p>
            <w:pPr>
              <w:pStyle w:val="Compact"/>
              <w:jc w:val="left"/>
            </w:pPr>
            <w:r>
              <w:t xml:space="preserve">Biến thiên chế độ thể chế</w:t>
            </w:r>
          </w:p>
        </w:tc>
      </w:tr>
      <w:tr>
        <w:tc>
          <w:tcPr/>
          <w:p>
            <w:pPr>
              <w:pStyle w:val="Compact"/>
              <w:jc w:val="left"/>
            </w:pPr>
            <w:r>
              <w:t xml:space="preserve">IFC</w:t>
            </w:r>
          </w:p>
        </w:tc>
        <w:tc>
          <w:tcPr/>
          <w:p>
            <w:pPr>
              <w:pStyle w:val="Compact"/>
              <w:jc w:val="left"/>
            </w:pPr>
            <w:r>
              <w:t xml:space="preserve">International Finance Corporation</w:t>
            </w:r>
          </w:p>
        </w:tc>
        <w:tc>
          <w:tcPr/>
          <w:p>
            <w:pPr>
              <w:pStyle w:val="Compact"/>
              <w:jc w:val="left"/>
            </w:pPr>
            <w:r>
              <w:t xml:space="preserve">Tổ chức Tài chính Quốc tế</w:t>
            </w:r>
          </w:p>
        </w:tc>
      </w:tr>
      <w:tr>
        <w:tc>
          <w:tcPr/>
          <w:p>
            <w:pPr>
              <w:pStyle w:val="Compact"/>
              <w:jc w:val="left"/>
            </w:pPr>
            <w:r>
              <w:t xml:space="preserve">IMF</w:t>
            </w:r>
          </w:p>
        </w:tc>
        <w:tc>
          <w:tcPr/>
          <w:p>
            <w:pPr>
              <w:pStyle w:val="Compact"/>
              <w:jc w:val="left"/>
            </w:pPr>
            <w:r>
              <w:t xml:space="preserve">International Monetary Fund</w:t>
            </w:r>
          </w:p>
        </w:tc>
        <w:tc>
          <w:tcPr/>
          <w:p>
            <w:pPr>
              <w:pStyle w:val="Compact"/>
              <w:jc w:val="left"/>
            </w:pPr>
            <w:r>
              <w:t xml:space="preserve">Quỹ Tiền tệ Quốc tế</w:t>
            </w:r>
          </w:p>
        </w:tc>
      </w:tr>
      <w:tr>
        <w:tc>
          <w:tcPr/>
          <w:p>
            <w:pPr>
              <w:pStyle w:val="Compact"/>
              <w:jc w:val="left"/>
            </w:pPr>
            <w:r>
              <w:t xml:space="preserve">IPR</w:t>
            </w:r>
          </w:p>
        </w:tc>
        <w:tc>
          <w:tcPr/>
          <w:p>
            <w:pPr>
              <w:pStyle w:val="Compact"/>
              <w:jc w:val="left"/>
            </w:pPr>
            <w:r>
              <w:t xml:space="preserve">Intellectual Property Rights</w:t>
            </w:r>
          </w:p>
        </w:tc>
        <w:tc>
          <w:tcPr/>
          <w:p>
            <w:pPr>
              <w:pStyle w:val="Compact"/>
              <w:jc w:val="left"/>
            </w:pPr>
            <w:r>
              <w:t xml:space="preserve">Quyền sở hữu trí tuệ</w:t>
            </w:r>
          </w:p>
        </w:tc>
      </w:tr>
      <w:tr>
        <w:tc>
          <w:tcPr/>
          <w:p>
            <w:pPr>
              <w:pStyle w:val="Compact"/>
              <w:jc w:val="left"/>
            </w:pPr>
            <w:r>
              <w:t xml:space="preserve">ISIC</w:t>
            </w:r>
          </w:p>
        </w:tc>
        <w:tc>
          <w:tcPr/>
          <w:p>
            <w:pPr>
              <w:pStyle w:val="Compact"/>
              <w:jc w:val="left"/>
            </w:pPr>
            <w:r>
              <w:t xml:space="preserve">International Standard Industrial Classification</w:t>
            </w:r>
          </w:p>
        </w:tc>
        <w:tc>
          <w:tcPr/>
          <w:p>
            <w:pPr>
              <w:pStyle w:val="Compact"/>
              <w:jc w:val="left"/>
            </w:pPr>
            <w:r>
              <w:t xml:space="preserve">Phân loại ngành kinh tế quốc tế</w:t>
            </w:r>
          </w:p>
        </w:tc>
      </w:tr>
      <w:tr>
        <w:tc>
          <w:tcPr/>
          <w:p>
            <w:pPr>
              <w:pStyle w:val="Compact"/>
              <w:jc w:val="left"/>
            </w:pPr>
            <w:r>
              <w:t xml:space="preserve">ISO</w:t>
            </w:r>
          </w:p>
        </w:tc>
        <w:tc>
          <w:tcPr/>
          <w:p>
            <w:pPr>
              <w:pStyle w:val="Compact"/>
              <w:jc w:val="left"/>
            </w:pPr>
            <w:r>
              <w:t xml:space="preserve">International Organization for Standardization</w:t>
            </w:r>
          </w:p>
        </w:tc>
        <w:tc>
          <w:tcPr/>
          <w:p>
            <w:pPr>
              <w:pStyle w:val="Compact"/>
              <w:jc w:val="left"/>
            </w:pPr>
            <w:r>
              <w:t xml:space="preserve">Tổ chức Tiêu chuẩn Quốc tế</w:t>
            </w:r>
          </w:p>
        </w:tc>
      </w:tr>
      <w:tr>
        <w:tc>
          <w:tcPr/>
          <w:p>
            <w:pPr>
              <w:pStyle w:val="Compact"/>
              <w:jc w:val="left"/>
            </w:pPr>
            <w:r>
              <w:t xml:space="preserve">IV</w:t>
            </w:r>
          </w:p>
        </w:tc>
        <w:tc>
          <w:tcPr/>
          <w:p>
            <w:pPr>
              <w:pStyle w:val="Compact"/>
              <w:jc w:val="left"/>
            </w:pPr>
            <w:r>
              <w:t xml:space="preserve">Instrumental Variable</w:t>
            </w:r>
          </w:p>
        </w:tc>
        <w:tc>
          <w:tcPr/>
          <w:p>
            <w:pPr>
              <w:pStyle w:val="Compact"/>
              <w:jc w:val="left"/>
            </w:pPr>
            <w:r>
              <w:t xml:space="preserve">Biến công cụ</w:t>
            </w:r>
          </w:p>
        </w:tc>
      </w:tr>
      <w:tr>
        <w:tc>
          <w:tcPr/>
          <w:p>
            <w:pPr>
              <w:pStyle w:val="Compact"/>
              <w:jc w:val="left"/>
            </w:pPr>
            <w:r>
              <w:t xml:space="preserve">LP</w:t>
            </w:r>
          </w:p>
        </w:tc>
        <w:tc>
          <w:tcPr/>
          <w:p>
            <w:pPr>
              <w:pStyle w:val="Compact"/>
              <w:jc w:val="left"/>
            </w:pPr>
            <w:r>
              <w:t xml:space="preserve">Labor Productivity</w:t>
            </w:r>
          </w:p>
        </w:tc>
        <w:tc>
          <w:tcPr/>
          <w:p>
            <w:pPr>
              <w:pStyle w:val="Compact"/>
              <w:jc w:val="left"/>
            </w:pPr>
            <w:r>
              <w:t xml:space="preserve">Năng suất lao động</w:t>
            </w:r>
          </w:p>
        </w:tc>
      </w:tr>
      <w:tr>
        <w:tc>
          <w:tcPr/>
          <w:p>
            <w:pPr>
              <w:pStyle w:val="Compact"/>
              <w:jc w:val="left"/>
            </w:pPr>
            <w:r>
              <w:t xml:space="preserve">MENA</w:t>
            </w:r>
          </w:p>
        </w:tc>
        <w:tc>
          <w:tcPr/>
          <w:p>
            <w:pPr>
              <w:pStyle w:val="Compact"/>
              <w:jc w:val="left"/>
            </w:pPr>
            <w:r>
              <w:t xml:space="preserve">Middle East and North Africa</w:t>
            </w:r>
          </w:p>
        </w:tc>
        <w:tc>
          <w:tcPr/>
          <w:p>
            <w:pPr>
              <w:pStyle w:val="Compact"/>
              <w:jc w:val="left"/>
            </w:pPr>
            <w:r>
              <w:t xml:space="preserve">Trung Đông và Bắc Phi</w:t>
            </w:r>
          </w:p>
        </w:tc>
      </w:tr>
      <w:tr>
        <w:tc>
          <w:tcPr/>
          <w:p>
            <w:pPr>
              <w:pStyle w:val="Compact"/>
              <w:jc w:val="left"/>
            </w:pPr>
            <w:r>
              <w:t xml:space="preserve">MIRAB</w:t>
            </w:r>
          </w:p>
        </w:tc>
        <w:tc>
          <w:tcPr/>
          <w:p>
            <w:pPr>
              <w:pStyle w:val="Compact"/>
              <w:jc w:val="left"/>
            </w:pPr>
            <w:r>
              <w:t xml:space="preserve">Migration, Remittances, Aid, Bureaucracy</w:t>
            </w:r>
          </w:p>
        </w:tc>
        <w:tc>
          <w:tcPr/>
          <w:p>
            <w:pPr>
              <w:pStyle w:val="Compact"/>
              <w:jc w:val="left"/>
            </w:pPr>
            <w:r>
              <w:t xml:space="preserve">Mô hình kinh tế SIDS Pacific</w:t>
            </w:r>
          </w:p>
        </w:tc>
      </w:tr>
      <w:tr>
        <w:tc>
          <w:tcPr/>
          <w:p>
            <w:pPr>
              <w:pStyle w:val="Compact"/>
              <w:jc w:val="left"/>
            </w:pPr>
            <w:r>
              <w:t xml:space="preserve">MNE</w:t>
            </w:r>
          </w:p>
        </w:tc>
        <w:tc>
          <w:tcPr/>
          <w:p>
            <w:pPr>
              <w:pStyle w:val="Compact"/>
              <w:jc w:val="left"/>
            </w:pPr>
            <w:r>
              <w:t xml:space="preserve">Multinational Enterprise</w:t>
            </w:r>
          </w:p>
        </w:tc>
        <w:tc>
          <w:tcPr/>
          <w:p>
            <w:pPr>
              <w:pStyle w:val="Compact"/>
              <w:jc w:val="left"/>
            </w:pPr>
            <w:r>
              <w:t xml:space="preserve">Doanh nghiệp đa quốc gia</w:t>
            </w:r>
          </w:p>
        </w:tc>
      </w:tr>
      <w:tr>
        <w:tc>
          <w:tcPr/>
          <w:p>
            <w:pPr>
              <w:pStyle w:val="Compact"/>
              <w:jc w:val="left"/>
            </w:pPr>
            <w:r>
              <w:t xml:space="preserve">ODA</w:t>
            </w:r>
          </w:p>
        </w:tc>
        <w:tc>
          <w:tcPr/>
          <w:p>
            <w:pPr>
              <w:pStyle w:val="Compact"/>
              <w:jc w:val="left"/>
            </w:pPr>
            <w:r>
              <w:t xml:space="preserve">Official Development Assistance</w:t>
            </w:r>
          </w:p>
        </w:tc>
        <w:tc>
          <w:tcPr/>
          <w:p>
            <w:pPr>
              <w:pStyle w:val="Compact"/>
              <w:jc w:val="left"/>
            </w:pPr>
            <w:r>
              <w:t xml:space="preserve">Hỗ trợ phát triển chính thức</w:t>
            </w:r>
          </w:p>
        </w:tc>
      </w:tr>
      <w:tr>
        <w:tc>
          <w:tcPr/>
          <w:p>
            <w:pPr>
              <w:pStyle w:val="Compact"/>
              <w:jc w:val="left"/>
            </w:pPr>
            <w:r>
              <w:t xml:space="preserve">OLI</w:t>
            </w:r>
          </w:p>
        </w:tc>
        <w:tc>
          <w:tcPr/>
          <w:p>
            <w:pPr>
              <w:pStyle w:val="Compact"/>
              <w:jc w:val="left"/>
            </w:pPr>
            <w:r>
              <w:t xml:space="preserve">Ownership-Location-Internalization</w:t>
            </w:r>
          </w:p>
        </w:tc>
        <w:tc>
          <w:tcPr/>
          <w:p>
            <w:pPr>
              <w:pStyle w:val="Compact"/>
              <w:jc w:val="left"/>
            </w:pPr>
            <w:r>
              <w:t xml:space="preserve">Mô hình chiết trung OLI</w:t>
            </w:r>
          </w:p>
        </w:tc>
      </w:tr>
      <w:tr>
        <w:tc>
          <w:tcPr/>
          <w:p>
            <w:pPr>
              <w:pStyle w:val="Compact"/>
              <w:jc w:val="left"/>
            </w:pPr>
            <w:r>
              <w:t xml:space="preserve">PICS3</w:t>
            </w:r>
          </w:p>
        </w:tc>
        <w:tc>
          <w:tcPr/>
          <w:p>
            <w:pPr>
              <w:pStyle w:val="Compact"/>
              <w:jc w:val="left"/>
            </w:pPr>
            <w:r>
              <w:t xml:space="preserve">WBES 2009-2012 schema</w:t>
            </w:r>
          </w:p>
        </w:tc>
        <w:tc>
          <w:tcPr/>
          <w:p>
            <w:pPr>
              <w:pStyle w:val="Compact"/>
              <w:jc w:val="left"/>
            </w:pPr>
            <w:r>
              <w:t xml:space="preserve">Thế hệ bảng hỏi WBES 2009-2012</w:t>
            </w:r>
          </w:p>
        </w:tc>
      </w:tr>
      <w:tr>
        <w:tc>
          <w:tcPr/>
          <w:p>
            <w:pPr>
              <w:pStyle w:val="Compact"/>
              <w:jc w:val="left"/>
            </w:pPr>
            <w:r>
              <w:t xml:space="preserve">PICs</w:t>
            </w:r>
          </w:p>
        </w:tc>
        <w:tc>
          <w:tcPr/>
          <w:p>
            <w:pPr>
              <w:pStyle w:val="Compact"/>
              <w:jc w:val="left"/>
            </w:pPr>
            <w:r>
              <w:t xml:space="preserve">Pacific Island Countries</w:t>
            </w:r>
          </w:p>
        </w:tc>
        <w:tc>
          <w:tcPr/>
          <w:p>
            <w:pPr>
              <w:pStyle w:val="Compact"/>
              <w:jc w:val="left"/>
            </w:pPr>
            <w:r>
              <w:t xml:space="preserve">Các quốc đảo Thái Bình Dương</w:t>
            </w:r>
          </w:p>
        </w:tc>
      </w:tr>
      <w:tr>
        <w:tc>
          <w:tcPr/>
          <w:p>
            <w:pPr>
              <w:pStyle w:val="Compact"/>
              <w:jc w:val="left"/>
            </w:pPr>
            <w:r>
              <w:t xml:space="preserve">PLMS</w:t>
            </w:r>
          </w:p>
        </w:tc>
        <w:tc>
          <w:tcPr/>
          <w:p>
            <w:pPr>
              <w:pStyle w:val="Compact"/>
              <w:jc w:val="left"/>
            </w:pPr>
            <w:r>
              <w:t xml:space="preserve">Pacific Labour Mobility Scheme</w:t>
            </w:r>
          </w:p>
        </w:tc>
        <w:tc>
          <w:tcPr/>
          <w:p>
            <w:pPr>
              <w:pStyle w:val="Compact"/>
              <w:jc w:val="left"/>
            </w:pPr>
            <w:r>
              <w:t xml:space="preserve">Chương trình lao động di chuyển Thái Bình Dương</w:t>
            </w:r>
          </w:p>
        </w:tc>
      </w:tr>
      <w:tr>
        <w:tc>
          <w:tcPr/>
          <w:p>
            <w:pPr>
              <w:pStyle w:val="Compact"/>
              <w:jc w:val="left"/>
            </w:pPr>
            <w:r>
              <w:t xml:space="preserve">PPP</w:t>
            </w:r>
          </w:p>
        </w:tc>
        <w:tc>
          <w:tcPr/>
          <w:p>
            <w:pPr>
              <w:pStyle w:val="Compact"/>
              <w:jc w:val="left"/>
            </w:pPr>
            <w:r>
              <w:t xml:space="preserve">Purchasing Power Parity</w:t>
            </w:r>
          </w:p>
        </w:tc>
        <w:tc>
          <w:tcPr/>
          <w:p>
            <w:pPr>
              <w:pStyle w:val="Compact"/>
              <w:jc w:val="left"/>
            </w:pPr>
            <w:r>
              <w:t xml:space="preserve">Ngang giá sức mua</w:t>
            </w:r>
          </w:p>
        </w:tc>
      </w:tr>
      <w:tr>
        <w:tc>
          <w:tcPr/>
          <w:p>
            <w:pPr>
              <w:pStyle w:val="Compact"/>
              <w:jc w:val="left"/>
            </w:pPr>
            <w:r>
              <w:t xml:space="preserve">R&amp;D</w:t>
            </w:r>
          </w:p>
        </w:tc>
        <w:tc>
          <w:tcPr/>
          <w:p>
            <w:pPr>
              <w:pStyle w:val="Compact"/>
              <w:jc w:val="left"/>
            </w:pPr>
            <w:r>
              <w:t xml:space="preserve">Research and Development</w:t>
            </w:r>
          </w:p>
        </w:tc>
        <w:tc>
          <w:tcPr/>
          <w:p>
            <w:pPr>
              <w:pStyle w:val="Compact"/>
              <w:jc w:val="left"/>
            </w:pPr>
            <w:r>
              <w:t xml:space="preserve">Nghiên cứu và Phát triển</w:t>
            </w:r>
          </w:p>
        </w:tc>
      </w:tr>
      <w:tr>
        <w:tc>
          <w:tcPr/>
          <w:p>
            <w:pPr>
              <w:pStyle w:val="Compact"/>
              <w:jc w:val="left"/>
            </w:pPr>
            <w:r>
              <w:t xml:space="preserve">RBV</w:t>
            </w:r>
          </w:p>
        </w:tc>
        <w:tc>
          <w:tcPr/>
          <w:p>
            <w:pPr>
              <w:pStyle w:val="Compact"/>
              <w:jc w:val="left"/>
            </w:pPr>
            <w:r>
              <w:t xml:space="preserve">Resource-Based View</w:t>
            </w:r>
          </w:p>
        </w:tc>
        <w:tc>
          <w:tcPr/>
          <w:p>
            <w:pPr>
              <w:pStyle w:val="Compact"/>
              <w:jc w:val="left"/>
            </w:pPr>
            <w:r>
              <w:t xml:space="preserve">Quan điểm dựa trên nguồn lực</w:t>
            </w:r>
          </w:p>
        </w:tc>
      </w:tr>
      <w:tr>
        <w:tc>
          <w:tcPr/>
          <w:p>
            <w:pPr>
              <w:pStyle w:val="Compact"/>
              <w:jc w:val="left"/>
            </w:pPr>
            <w:r>
              <w:t xml:space="preserve">SIDS</w:t>
            </w:r>
          </w:p>
        </w:tc>
        <w:tc>
          <w:tcPr/>
          <w:p>
            <w:pPr>
              <w:pStyle w:val="Compact"/>
              <w:jc w:val="left"/>
            </w:pPr>
            <w:r>
              <w:t xml:space="preserve">Small Island Developing States</w:t>
            </w:r>
          </w:p>
        </w:tc>
        <w:tc>
          <w:tcPr/>
          <w:p>
            <w:pPr>
              <w:pStyle w:val="Compact"/>
              <w:jc w:val="left"/>
            </w:pPr>
            <w:r>
              <w:t xml:space="preserve">Quốc đảo nhỏ đang phát triển</w:t>
            </w:r>
          </w:p>
        </w:tc>
      </w:tr>
      <w:tr>
        <w:tc>
          <w:tcPr/>
          <w:p>
            <w:pPr>
              <w:pStyle w:val="Compact"/>
              <w:jc w:val="left"/>
            </w:pPr>
            <w:r>
              <w:t xml:space="preserve">SME</w:t>
            </w:r>
          </w:p>
        </w:tc>
        <w:tc>
          <w:tcPr/>
          <w:p>
            <w:pPr>
              <w:pStyle w:val="Compact"/>
              <w:jc w:val="left"/>
            </w:pPr>
            <w:r>
              <w:t xml:space="preserve">Small and Medium Enterprise</w:t>
            </w:r>
          </w:p>
        </w:tc>
        <w:tc>
          <w:tcPr/>
          <w:p>
            <w:pPr>
              <w:pStyle w:val="Compact"/>
              <w:jc w:val="left"/>
            </w:pPr>
            <w:r>
              <w:t xml:space="preserve">Doanh nghiệp vừa và nhỏ</w:t>
            </w:r>
          </w:p>
        </w:tc>
      </w:tr>
      <w:tr>
        <w:tc>
          <w:tcPr/>
          <w:p>
            <w:pPr>
              <w:pStyle w:val="Compact"/>
              <w:jc w:val="left"/>
            </w:pPr>
            <w:r>
              <w:t xml:space="preserve">TCI</w:t>
            </w:r>
          </w:p>
        </w:tc>
        <w:tc>
          <w:tcPr/>
          <w:p>
            <w:pPr>
              <w:pStyle w:val="Compact"/>
              <w:jc w:val="left"/>
            </w:pPr>
            <w:r>
              <w:t xml:space="preserve">Technological Capability Index</w:t>
            </w:r>
          </w:p>
        </w:tc>
        <w:tc>
          <w:tcPr/>
          <w:p>
            <w:pPr>
              <w:pStyle w:val="Compact"/>
              <w:jc w:val="left"/>
            </w:pPr>
            <w:r>
              <w:t xml:space="preserve">Chỉ số năng lực công nghệ</w:t>
            </w:r>
          </w:p>
        </w:tc>
      </w:tr>
      <w:tr>
        <w:tc>
          <w:tcPr/>
          <w:p>
            <w:pPr>
              <w:pStyle w:val="Compact"/>
              <w:jc w:val="left"/>
            </w:pPr>
            <w:r>
              <w:t xml:space="preserve">TMT</w:t>
            </w:r>
          </w:p>
        </w:tc>
        <w:tc>
          <w:tcPr/>
          <w:p>
            <w:pPr>
              <w:pStyle w:val="Compact"/>
              <w:jc w:val="left"/>
            </w:pPr>
            <w:r>
              <w:t xml:space="preserve">Top Management Team</w:t>
            </w:r>
          </w:p>
        </w:tc>
        <w:tc>
          <w:tcPr/>
          <w:p>
            <w:pPr>
              <w:pStyle w:val="Compact"/>
              <w:jc w:val="left"/>
            </w:pPr>
            <w:r>
              <w:t xml:space="preserve">Nhóm quản trị cấp cao</w:t>
            </w:r>
          </w:p>
        </w:tc>
      </w:tr>
      <w:tr>
        <w:tc>
          <w:tcPr/>
          <w:p>
            <w:pPr>
              <w:pStyle w:val="Compact"/>
              <w:jc w:val="left"/>
            </w:pPr>
            <w:r>
              <w:t xml:space="preserve">UNCTAD</w:t>
            </w:r>
          </w:p>
        </w:tc>
        <w:tc>
          <w:tcPr/>
          <w:p>
            <w:pPr>
              <w:pStyle w:val="Compact"/>
              <w:jc w:val="left"/>
            </w:pPr>
            <w:r>
              <w:t xml:space="preserve">United Nations Conference on Trade and Development</w:t>
            </w:r>
          </w:p>
        </w:tc>
        <w:tc>
          <w:tcPr/>
          <w:p>
            <w:pPr>
              <w:pStyle w:val="Compact"/>
              <w:jc w:val="left"/>
            </w:pPr>
            <w:r>
              <w:t xml:space="preserve">-</w:t>
            </w:r>
          </w:p>
        </w:tc>
      </w:tr>
      <w:tr>
        <w:tc>
          <w:tcPr/>
          <w:p>
            <w:pPr>
              <w:pStyle w:val="Compact"/>
              <w:jc w:val="left"/>
            </w:pPr>
            <w:r>
              <w:t xml:space="preserve">WBES</w:t>
            </w:r>
          </w:p>
        </w:tc>
        <w:tc>
          <w:tcPr/>
          <w:p>
            <w:pPr>
              <w:pStyle w:val="Compact"/>
              <w:jc w:val="left"/>
            </w:pPr>
            <w:r>
              <w:t xml:space="preserve">World Bank Enterprise Surveys</w:t>
            </w:r>
          </w:p>
        </w:tc>
        <w:tc>
          <w:tcPr/>
          <w:p>
            <w:pPr>
              <w:pStyle w:val="Compact"/>
              <w:jc w:val="left"/>
            </w:pPr>
            <w:r>
              <w:t xml:space="preserve">Điều tra doanh nghiệp của Ngân hàng Thế giới</w:t>
            </w:r>
          </w:p>
        </w:tc>
      </w:tr>
      <w:tr>
        <w:tc>
          <w:tcPr/>
          <w:p>
            <w:pPr>
              <w:pStyle w:val="Compact"/>
              <w:jc w:val="left"/>
            </w:pPr>
            <w:r>
              <w:t xml:space="preserve">WGI</w:t>
            </w:r>
          </w:p>
        </w:tc>
        <w:tc>
          <w:tcPr/>
          <w:p>
            <w:pPr>
              <w:pStyle w:val="Compact"/>
              <w:jc w:val="left"/>
            </w:pPr>
            <w:r>
              <w:t xml:space="preserve">World Governance Indicators</w:t>
            </w:r>
          </w:p>
        </w:tc>
        <w:tc>
          <w:tcPr/>
          <w:p>
            <w:pPr>
              <w:pStyle w:val="Compact"/>
              <w:jc w:val="left"/>
            </w:pPr>
            <w:r>
              <w:t xml:space="preserve">Chỉ số quản trị quốc gia</w:t>
            </w:r>
          </w:p>
        </w:tc>
      </w:tr>
    </w:tbl>
    <w:p>
      <w:r>
        <w:pict>
          <v:rect style="width:0;height:1.5pt" o:hralign="center" o:hrstd="t" o:hr="t"/>
        </w:pict>
      </w:r>
    </w:p>
    <w:bookmarkEnd w:id="26"/>
    <w:bookmarkStart w:id="32" w:name="giới-thiệu"/>
    <w:p>
      <w:pPr>
        <w:pStyle w:val="Heading2"/>
      </w:pPr>
      <w:r>
        <w:t xml:space="preserve">2.1 GIỚI THIỆU</w:t>
      </w:r>
    </w:p>
    <w:bookmarkStart w:id="27" w:name="đặt-vấn-đề-và-tính-cấp-thiết"/>
    <w:p>
      <w:pPr>
        <w:pStyle w:val="Heading3"/>
      </w:pPr>
      <w:r>
        <w:t xml:space="preserve">2.1.1 Đặt vấn đề và tính cấp thiết</w:t>
      </w:r>
    </w:p>
    <w:p>
      <w:pPr>
        <w:pStyle w:val="FirstParagraph"/>
      </w:pPr>
      <w:r>
        <w:t xml:space="preserve">Khu vực châu Á đã trở thành động lực tăng trưởng của kinh tế thế giới trong gần hai thập niên qua. Theo Asian Development Bank (ADB, 2024), châu Á đóng góp khoảng 60% tăng trưởng GDP toàn cầu giai đoạn 2010-2023, với tổng quy mô kinh tế chiếm xấp xỉ 40% GDP toàn cầu (World Bank, 2024). Bên trong khu vực, hiệu quả hoạt động của doanh nghiệp, đơn vị tế bào của nền kinh tế, là yếu tố quyết định mức độ chuyển hoá tăng trưởng quốc gia thành thịnh vượng và năng lực cạnh tranh dài hạn (Cusolito &amp; Maloney, 2018). Do đó, một đánh giá thực trạng đủ rộng và đủ sâu về hiệu quả hoạt động của doanh nghiệp châu Á không chỉ mang giá trị mô tả, mà còn là tiền đề cho cả việc xây dựng lý thuyết lẫn thiết kế chính sách.</w:t>
      </w:r>
    </w:p>
    <w:p>
      <w:pPr>
        <w:pStyle w:val="BodyText"/>
      </w:pPr>
      <w:r>
        <w:t xml:space="preserve">Bức tranh hiệu quả doanh nghiệp châu Á 2009-2025 được định hình bởi</w:t>
      </w:r>
      <w:r>
        <w:t xml:space="preserve"> </w:t>
      </w:r>
      <w:r>
        <w:rPr>
          <w:bCs/>
          <w:b/>
        </w:rPr>
        <w:t xml:space="preserve">bảy lớp bối cảnh đan xen</w:t>
      </w:r>
      <w:r>
        <w:t xml:space="preserve">. Bốn lớp đầu gồm: hậu khủng hoảng tài chính toàn cầu 2008-2009; tái cấu trúc chuỗi giá trị toàn cầu sau chiến tranh thương mại Mỹ-Trung 2018 (UNCTAD, 2023); đại dịch COVID-19 2020-2022 (World Bank, 2023); và làn sóng chuyển đổi số tăng tốc từ 2018 (Verhoef et al., 2021; Banalieva &amp; Dhanaraj, 2019). Lớp thứ năm là</w:t>
      </w:r>
      <w:r>
        <w:t xml:space="preserve"> </w:t>
      </w:r>
      <w:r>
        <w:rPr>
          <w:bCs/>
          <w:b/>
        </w:rPr>
        <w:t xml:space="preserve">giai đoạn AI bùng nổ và củng cố hậu COVID 2023-2025</w:t>
      </w:r>
      <w:r>
        <w:t xml:space="preserve"> </w:t>
      </w:r>
      <w:r>
        <w:t xml:space="preserve">(Stallkamp &amp; Schotter, 2021).</w:t>
      </w:r>
      <w:r>
        <w:t xml:space="preserve"> </w:t>
      </w:r>
      <w:r>
        <w:rPr>
          <w:bCs/>
          <w:b/>
        </w:rPr>
        <w:t xml:space="preserve">Lớp thứ sáu là xung đột Trung Đông 2026</w:t>
      </w:r>
      <w:r>
        <w:t xml:space="preserve">, IMF (2026, tháng 4) điều chỉnh giảm tăng trưởng toàn cầu xuống 3,1% năm 2026; ADB (2026, tháng 4) dự báo Pacific 3,4%, Đông Nam Á 4,7%, Việt Nam 7,0%. Riêng Việt Nam, ADB (2026, tháng 4) ghi nhận GDP lịch sử 2025 đạt 8,0% và cập nhật dự báo 7,2% (2026) xuống 7,0% (2027).</w:t>
      </w:r>
      <w:r>
        <w:t xml:space="preserve"> </w:t>
      </w:r>
      <w:r>
        <w:rPr>
          <w:bCs/>
          <w:b/>
        </w:rPr>
        <w:t xml:space="preserve">Lớp thứ bảy là bất định chính sách thuế quan Mỹ 2026</w:t>
      </w:r>
      <w:r>
        <w:t xml:space="preserve">, Mỹ chiếm xấp xỉ 30% tổng kim ngạch xuất khẩu Việt Nam; thuế toàn cầu 10% tạm thời tạo áp lực kép: hiệu ứng front-loading ngắn hạn và trì hoãn đầu tư dài hạn.</w:t>
      </w:r>
    </w:p>
    <w:p>
      <w:pPr>
        <w:pStyle w:val="BodyText"/>
      </w:pPr>
      <w:r>
        <w:t xml:space="preserve">Trong bối cảnh đó, hệ thống thông tin về hiệu quả doanh nghiệp châu Á còn phân mảnh. World Bank Enterprise Surveys (WBES) là cơ sở dữ liệu vi mô tin cậy nhất hiện có (World Bank Enterprise Surveys, 2025). Đỗ và Phan (2026, VEFR) đã mở rộng phạm vi WBES đến 17 nền kinh tế châu Á mới nổi với ~40.633 doanh nghiệp. Tuy nhiên, vẫn còn ít tổng hợp xuyên 47 nền kinh tế trên giai đoạn dài 2009-2025. Chuyên đề này lấp khoảng trống thực tiễn đó bằng cách tổng hợp dữ liệu</w:t>
      </w:r>
      <w:r>
        <w:t xml:space="preserve"> </w:t>
      </w:r>
      <w:r>
        <w:rPr>
          <w:bCs/>
          <w:b/>
        </w:rPr>
        <w:t xml:space="preserve">101.185 doanh nghiệp xuyên 47 nền kinh tế × 108 cặp quốc gia × năm × 14 mốc khảo sát</w:t>
      </w:r>
      <w:r>
        <w:t xml:space="preserve">, gấp 2,5 lần phạm vi của Đỗ &amp; Phan (2026, VEFR).</w:t>
      </w:r>
    </w:p>
    <w:p>
      <w:pPr>
        <w:pStyle w:val="BodyText"/>
      </w:pPr>
      <w:r>
        <w:rPr>
          <w:bCs/>
          <w:b/>
        </w:rPr>
        <w:t xml:space="preserve">Ẩn dụ minh họa, Fiji và Singapore</w:t>
      </w:r>
      <w:r>
        <w:t xml:space="preserve">: Trường hợp Fiji 2025 với tỷ lệ website 74,8% vượt Singapore 66,1% là minh chứng rõ nhất cho ranh giới giữa</w:t>
      </w:r>
      <w:r>
        <w:t xml:space="preserve"> </w:t>
      </w:r>
      <w:r>
        <w:t xml:space="preserve">“</w:t>
      </w:r>
      <w:r>
        <w:t xml:space="preserve">lý thuyết Uppsala vận hành ở điểm tối ưu</w:t>
      </w:r>
      <w:r>
        <w:t xml:space="preserve">”</w:t>
      </w:r>
      <w:r>
        <w:t xml:space="preserve"> </w:t>
      </w:r>
      <w:r>
        <w:t xml:space="preserve">và</w:t>
      </w:r>
      <w:r>
        <w:t xml:space="preserve"> </w:t>
      </w:r>
      <w:r>
        <w:t xml:space="preserve">“</w:t>
      </w:r>
      <w:r>
        <w:t xml:space="preserve">lý thuyết Uppsala bị biến dạng ở điều kiện biên</w:t>
      </w:r>
      <w:r>
        <w:t xml:space="preserve">”</w:t>
      </w:r>
      <w:r>
        <w:t xml:space="preserve">. Đối với Fiji và 6 SIDS Pacific khác, số hóa không phải công cụ tối ưu hóa chuỗi cung ứng mà là phương tiện sinh tồn, dẫn vào các luận điểm về điều kiện biên của mô hình U-curve và tiểu cảnh điển hình SIDS Pacific trong phần 2.3.</w:t>
      </w:r>
    </w:p>
    <w:bookmarkEnd w:id="27"/>
    <w:bookmarkStart w:id="28" w:name="mục-tiêu-chuyên-đề"/>
    <w:p>
      <w:pPr>
        <w:pStyle w:val="Heading3"/>
      </w:pPr>
      <w:r>
        <w:t xml:space="preserve">2.1.2 Mục tiêu chuyên đề</w:t>
      </w:r>
    </w:p>
    <w:p>
      <w:pPr>
        <w:pStyle w:val="FirstParagraph"/>
      </w:pPr>
      <w:r>
        <w:rPr>
          <w:bCs/>
          <w:b/>
        </w:rPr>
        <w:t xml:space="preserve">Mục tiêu chung</w:t>
      </w:r>
      <w:r>
        <w:t xml:space="preserve">: Hệ thống hóa và phân tích mô tả thực trạng hiệu quả hoạt động kinh doanh của các doanh nghiệp ở</w:t>
      </w:r>
      <w:r>
        <w:t xml:space="preserve"> </w:t>
      </w:r>
      <w:r>
        <w:rPr>
          <w:bCs/>
          <w:b/>
        </w:rPr>
        <w:t xml:space="preserve">47 nền kinh tế châu Á và Thái Bình Dương</w:t>
      </w:r>
      <w:r>
        <w:t xml:space="preserve"> </w:t>
      </w:r>
      <w:r>
        <w:t xml:space="preserve">(41 nền kinh tế châu Á + 7 SIDS Thái Bình Dương mở rộng trường hợp biên; pool 101.185 doanh nghiệp) trong giai đoạn</w:t>
      </w:r>
      <w:r>
        <w:t xml:space="preserve"> </w:t>
      </w:r>
      <w:r>
        <w:rPr>
          <w:bCs/>
          <w:b/>
        </w:rPr>
        <w:t xml:space="preserve">2009-2025</w:t>
      </w:r>
      <w:r>
        <w:t xml:space="preserve">.</w:t>
      </w:r>
    </w:p>
    <w:p>
      <w:pPr>
        <w:pStyle w:val="BodyText"/>
      </w:pPr>
      <w:r>
        <w:rPr>
          <w:bCs/>
          <w:b/>
        </w:rPr>
        <w:t xml:space="preserve">Mục tiêu cụ thể</w:t>
      </w:r>
      <w:r>
        <w:t xml:space="preserve">:</w:t>
      </w:r>
    </w:p>
    <w:p>
      <w:pPr>
        <w:numPr>
          <w:ilvl w:val="0"/>
          <w:numId w:val="1005"/>
        </w:numPr>
        <w:pStyle w:val="Compact"/>
      </w:pPr>
      <w:r>
        <w:t xml:space="preserve">Hệ thống hóa khái niệm và đa chiều đo lường hiệu quả hoạt động kinh doanh trong các nghiên cứu hiện hành;</w:t>
      </w:r>
    </w:p>
    <w:p>
      <w:pPr>
        <w:numPr>
          <w:ilvl w:val="0"/>
          <w:numId w:val="1005"/>
        </w:numPr>
        <w:pStyle w:val="Compact"/>
      </w:pPr>
      <w:r>
        <w:t xml:space="preserve">Đề xuất khung phân loại 6 phân nhóm con ICRV cho 47 nền kinh tế;</w:t>
      </w:r>
    </w:p>
    <w:p>
      <w:pPr>
        <w:numPr>
          <w:ilvl w:val="0"/>
          <w:numId w:val="1005"/>
        </w:numPr>
        <w:pStyle w:val="Compact"/>
      </w:pPr>
      <w:r>
        <w:t xml:space="preserve">Phân tích thực trạng đa chiều hiệu quả doanh nghiệp ở 41 nước châu Á (phạm vi chính) và so sánh với 7 SIDS Pacific (trường hợp biên);</w:t>
      </w:r>
    </w:p>
    <w:p>
      <w:pPr>
        <w:numPr>
          <w:ilvl w:val="0"/>
          <w:numId w:val="1005"/>
        </w:numPr>
        <w:pStyle w:val="Compact"/>
      </w:pPr>
      <w:r>
        <w:t xml:space="preserve">Nhận diện đặc điểm và yếu tố giải thích sơ bộ cho dị biệt hiệu quả giữa các phân nhóm;</w:t>
      </w:r>
    </w:p>
    <w:p>
      <w:pPr>
        <w:numPr>
          <w:ilvl w:val="0"/>
          <w:numId w:val="1005"/>
        </w:numPr>
        <w:pStyle w:val="Compact"/>
      </w:pPr>
      <w:r>
        <w:t xml:space="preserve">Đề xuất khoảng trống thực tiễn để định hướng nghiên cứu tiếp theo.</w:t>
      </w:r>
    </w:p>
    <w:bookmarkEnd w:id="28"/>
    <w:bookmarkStart w:id="29" w:name="nội-dung-và-phạm-vi-nghiên-cứu"/>
    <w:p>
      <w:pPr>
        <w:pStyle w:val="Heading3"/>
      </w:pPr>
      <w:r>
        <w:t xml:space="preserve">2.1.3 Nội dung và phạm vi nghiên cứu</w:t>
      </w:r>
    </w:p>
    <w:p>
      <w:pPr>
        <w:pStyle w:val="FirstParagraph"/>
      </w:pPr>
      <w:r>
        <w:rPr>
          <w:bCs/>
          <w:b/>
        </w:rPr>
        <w:t xml:space="preserve">Đối tượng nghiên cứu</w:t>
      </w:r>
      <w:r>
        <w:t xml:space="preserve">: Doanh nghiệp đang hoạt động ở các nền kinh tế trong pool đáp ứng tiêu chí mẫu của WBES, chủ yếu là doanh nghiệp khu vực ngoài quốc doanh, có ít nhất 5 lao động, thuộc các ngành phi nông nghiệp.</w:t>
      </w:r>
    </w:p>
    <w:p>
      <w:pPr>
        <w:pStyle w:val="BodyText"/>
      </w:pPr>
      <w:r>
        <w:rPr>
          <w:bCs/>
          <w:b/>
        </w:rPr>
        <w:t xml:space="preserve">Phạm vi không gian</w:t>
      </w:r>
      <w:r>
        <w:t xml:space="preserve">:</w:t>
      </w:r>
    </w:p>
    <w:p>
      <w:pPr>
        <w:pStyle w:val="BodyText"/>
      </w:pPr>
      <w:r>
        <w:rPr>
          <w:bCs/>
          <w:b/>
        </w:rPr>
        <w:t xml:space="preserve">A. Phạm vi chính, 41 nước châu Á thuần</w:t>
      </w:r>
      <w:r>
        <w:t xml:space="preserve">:</w:t>
      </w:r>
      <w:r>
        <w:t xml:space="preserve"> </w:t>
      </w:r>
      <w:r>
        <w:t xml:space="preserve">-</w:t>
      </w:r>
      <w:r>
        <w:t xml:space="preserve"> </w:t>
      </w:r>
      <w:r>
        <w:rPr>
          <w:bCs/>
          <w:b/>
        </w:rPr>
        <w:t xml:space="preserve">(i) Advanced đổi mới sáng tạo dẫn dắt (5 nước)</w:t>
      </w:r>
      <w:r>
        <w:t xml:space="preserve">: Singapore, Hong Kong SAR, Hàn Quốc, Đài Loan, Israel.</w:t>
      </w:r>
      <w:r>
        <w:t xml:space="preserve"> </w:t>
      </w:r>
      <w:r>
        <w:t xml:space="preserve">-</w:t>
      </w:r>
      <w:r>
        <w:t xml:space="preserve"> </w:t>
      </w:r>
      <w:r>
        <w:rPr>
          <w:bCs/>
          <w:b/>
        </w:rPr>
        <w:t xml:space="preserve">(ii) Advanced tài nguyên dẫn dắt (5 nước)</w:t>
      </w:r>
      <w:r>
        <w:t xml:space="preserve">: Saudi Arabia, Qatar, Kuwait, Bahrain, Brunei.</w:t>
      </w:r>
      <w:r>
        <w:t xml:space="preserve"> </w:t>
      </w:r>
      <w:r>
        <w:t xml:space="preserve">-</w:t>
      </w:r>
      <w:r>
        <w:t xml:space="preserve"> </w:t>
      </w:r>
      <w:r>
        <w:rPr>
          <w:bCs/>
          <w:b/>
        </w:rPr>
        <w:t xml:space="preserve">(iii) Trung bình cao, Upper-middle (6 nước)</w:t>
      </w:r>
      <w:r>
        <w:t xml:space="preserve">: Trung Quốc, Malaysia, Thái Lan, Kazakhstan, Armenia, Georgia.</w:t>
      </w:r>
      <w:r>
        <w:t xml:space="preserve"> </w:t>
      </w:r>
      <w:r>
        <w:t xml:space="preserve">-</w:t>
      </w:r>
      <w:r>
        <w:t xml:space="preserve"> </w:t>
      </w:r>
      <w:r>
        <w:rPr>
          <w:bCs/>
          <w:b/>
        </w:rPr>
        <w:t xml:space="preserve">(iv) Đang nổi, Emerging (7 nước)</w:t>
      </w:r>
      <w:r>
        <w:t xml:space="preserve">: Việt Nam, Indonesia, Philippines, Ấn Độ, Sri Lanka, Jordan, Mông Cổ.</w:t>
      </w:r>
      <w:r>
        <w:t xml:space="preserve"> </w:t>
      </w:r>
      <w:r>
        <w:t xml:space="preserve">-</w:t>
      </w:r>
      <w:r>
        <w:t xml:space="preserve"> </w:t>
      </w:r>
      <w:r>
        <w:rPr>
          <w:bCs/>
          <w:b/>
        </w:rPr>
        <w:t xml:space="preserve">(v) Cận biên, Frontier (17 nước)</w:t>
      </w:r>
      <w:r>
        <w:t xml:space="preserve">: Bangladesh, Pakistan, Lào, Campuchia, Myanmar, Nepal, Bhutan, Maldives, Uzbekistan, Tajikistan, Kyrgyz Republic, Turkmenistan, Afghanistan, Timor-Leste, Iraq, Lebanon, Yemen.</w:t>
      </w:r>
    </w:p>
    <w:p>
      <w:pPr>
        <w:pStyle w:val="BodyText"/>
      </w:pPr>
      <w:r>
        <w:rPr>
          <w:bCs/>
          <w:b/>
        </w:rPr>
        <w:t xml:space="preserve">B. Trường hợp biên mở rộng, 7 SIDS Thái Bình Dương</w:t>
      </w:r>
      <w:r>
        <w:t xml:space="preserve"> </w:t>
      </w:r>
      <w:r>
        <w:t xml:space="preserve">(n=1.371, 1,4% pool): Fiji, Papua New Guinea, Solomon Islands, Tonga, Vanuatu, Samoa, Kiribati (2025).</w:t>
      </w:r>
    </w:p>
    <w:p>
      <w:pPr>
        <w:pStyle w:val="BodyText"/>
      </w:pPr>
      <w:r>
        <w:rPr>
          <w:bCs/>
          <w:b/>
        </w:rPr>
        <w:t xml:space="preserve">Phạm vi thời gian</w:t>
      </w:r>
      <w:r>
        <w:t xml:space="preserve">:</w:t>
      </w:r>
      <w:r>
        <w:t xml:space="preserve"> </w:t>
      </w:r>
      <w:r>
        <w:rPr>
          <w:bCs/>
          <w:b/>
        </w:rPr>
        <w:t xml:space="preserve">2009-2025</w:t>
      </w:r>
      <w:r>
        <w:t xml:space="preserve"> </w:t>
      </w:r>
      <w:r>
        <w:t xml:space="preserve">(16 năm × 14 mốc khảo sát). Ba thế hệ schema WBES: PICS3 (2009-2012, n=14.335), Standardized (2013-2017, n=25.046), BREADY/BEE/EAP Core (2018-2025, n=61.804).</w:t>
      </w:r>
    </w:p>
    <w:bookmarkEnd w:id="29"/>
    <w:bookmarkStart w:id="30" w:name="giới-hạn-nghiên-cứu"/>
    <w:p>
      <w:pPr>
        <w:pStyle w:val="Heading3"/>
      </w:pPr>
      <w:r>
        <w:t xml:space="preserve">2.1.4 Giới hạn nghiên cứu</w:t>
      </w:r>
    </w:p>
    <w:p>
      <w:pPr>
        <w:pStyle w:val="FirstParagraph"/>
      </w:pPr>
      <w:r>
        <w:t xml:space="preserve">Bảy giới hạn cấu trúc được thừa nhận minh bạch:</w:t>
      </w:r>
    </w:p>
    <w:p>
      <w:pPr>
        <w:pStyle w:val="BodyText"/>
      </w:pPr>
      <w:r>
        <w:rPr>
          <w:bCs/>
          <w:b/>
        </w:rPr>
        <w:t xml:space="preserve">(1) Cross-sectional không cho phép suy luận nhân quả mạnh</w:t>
      </w:r>
      <w:r>
        <w:t xml:space="preserve">: WBES là repeated cross-sections, không phải panel cân bằng. Kết luận nhân quả dựa trên ước lượng biến công cụ từ nghiên cứu Việt Nam và không thể khái quát trực tiếp sang 47 nền kinh tế.</w:t>
      </w:r>
    </w:p>
    <w:p>
      <w:pPr>
        <w:pStyle w:val="BodyText"/>
      </w:pPr>
      <w:r>
        <w:rPr>
          <w:bCs/>
          <w:b/>
        </w:rPr>
        <w:t xml:space="preserve">(2) Chỉ số áp dụng số bị giới hạn ở Tier-1 và Tier-2</w:t>
      </w:r>
      <w:r>
        <w:t xml:space="preserve">: Bộ câu hỏi PICS3/Standardized chỉ có website nhị phân (Tier-1). BREADY có Tier-2 nhưng không đo Tier-3/4. Chuyên đề chỉ phát biểu về phần bù Tier-1/2, không phải toàn bộ phổ áp dụng số.</w:t>
      </w:r>
    </w:p>
    <w:p>
      <w:pPr>
        <w:pStyle w:val="BodyText"/>
      </w:pPr>
      <w:r>
        <w:rPr>
          <w:bCs/>
          <w:b/>
        </w:rPr>
        <w:t xml:space="preserve">(3) Chỉ số TCI tổng hợp với trọng số đồng đều</w:t>
      </w:r>
      <w:r>
        <w:t xml:space="preserve">: Trung bình đơn giản 4 thành phần (ISO, R&amp;D, đổi mới sản phẩm, công nghệ nước ngoài) chưa được xác nhận bằng phân tích nhân tố, trọng số tối ưu có thể khác nhau giữa các nhóm ICRV.</w:t>
      </w:r>
    </w:p>
    <w:p>
      <w:pPr>
        <w:pStyle w:val="BodyText"/>
      </w:pPr>
      <w:r>
        <w:rPr>
          <w:bCs/>
          <w:b/>
        </w:rPr>
        <w:t xml:space="preserve">(4) Thiếu một số biến lãnh đạo trong các sóng khảo sát cũ</w:t>
      </w:r>
      <w:r>
        <w:t xml:space="preserve">: Biến kinh nghiệm quản lý và giới tính lãnh đạo không có đủ trong tất cả 14 sóng WBES. Phân tích liên quan phải thực hiện trên mẫu con, tạo ra khả năng lệch chọn lọc.</w:t>
      </w:r>
    </w:p>
    <w:p>
      <w:pPr>
        <w:pStyle w:val="BodyText"/>
      </w:pPr>
      <w:r>
        <w:rPr>
          <w:bCs/>
          <w:b/>
        </w:rPr>
        <w:t xml:space="preserve">(5) Không tách biệt tác động COVID-19 khỏi tác động áp dụng số</w:t>
      </w:r>
      <w:r>
        <w:t xml:space="preserve">: Bộ câu hỏi BREADY 2018-2025 bao gồm giai đoạn gián đoạn COVID (2020-2022) và tăng tốc AI (2023+). Kết quả từ BREADY 2025 nên được giải thích là</w:t>
      </w:r>
      <w:r>
        <w:t xml:space="preserve"> </w:t>
      </w:r>
      <w:r>
        <w:t xml:space="preserve">“</w:t>
      </w:r>
      <w:r>
        <w:t xml:space="preserve">hậu đại dịch kết hợp tăng tốc số</w:t>
      </w:r>
      <w:r>
        <w:t xml:space="preserve">”</w:t>
      </w:r>
      <w:r>
        <w:t xml:space="preserve">.</w:t>
      </w:r>
    </w:p>
    <w:p>
      <w:pPr>
        <w:pStyle w:val="BodyText"/>
      </w:pPr>
      <w:r>
        <w:rPr>
          <w:bCs/>
          <w:b/>
        </w:rPr>
        <w:t xml:space="preserve">(6) Phạm vi SIDS chưa đầy đủ</w:t>
      </w:r>
      <w:r>
        <w:t xml:space="preserve">: 9/~52 SIDS theo UNCTAD (dữ liệu WBES hiện có). Tuvalu, Nauru, Marshall Islands, Micronesia chưa có WBES. Kết luận về chi phí quốc tế hóa buộc phải có thể chưa đại diện toàn bộ SIDS Pacific.</w:t>
      </w:r>
    </w:p>
    <w:p>
      <w:pPr>
        <w:pStyle w:val="BodyText"/>
      </w:pPr>
      <w:r>
        <w:rPr>
          <w:bCs/>
          <w:b/>
        </w:rPr>
        <w:t xml:space="preserve">(7) Không có dữ liệu cường độ số theo ngành</w:t>
      </w:r>
      <w:r>
        <w:t xml:space="preserve">: WBES không phân biệt chỉ số áp dụng số theo ngành. Doanh nghiệp sản xuất và dịch vụ có hệ số DAI Tier-1 giống nhau nhưng cường độ số thực tế khác nhau. Hiệu ứng cố định ngành kiểm soát được một phần nhưng không giải quyết triệt để vấn đề này.</w:t>
      </w:r>
    </w:p>
    <w:bookmarkEnd w:id="30"/>
    <w:bookmarkStart w:id="31" w:name="ý-nghĩa-khoa-học-và-thực-tiễn"/>
    <w:p>
      <w:pPr>
        <w:pStyle w:val="Heading3"/>
      </w:pPr>
      <w:r>
        <w:t xml:space="preserve">2.1.5 Ý nghĩa khoa học và thực tiễn</w:t>
      </w:r>
    </w:p>
    <w:p>
      <w:pPr>
        <w:pStyle w:val="FirstParagraph"/>
      </w:pPr>
      <w:r>
        <w:rPr>
          <w:bCs/>
          <w:b/>
        </w:rPr>
        <w:t xml:space="preserve">Bốn đóng góp phạm vi chính (41 nước châu Á)</w:t>
      </w:r>
      <w:r>
        <w:t xml:space="preserve">:</w:t>
      </w:r>
    </w:p>
    <w:p>
      <w:pPr>
        <w:numPr>
          <w:ilvl w:val="0"/>
          <w:numId w:val="1006"/>
        </w:numPr>
      </w:pPr>
      <w:r>
        <w:rPr>
          <w:bCs/>
          <w:b/>
        </w:rPr>
        <w:t xml:space="preserve">Bức tranh thực trạng đa chiều</w:t>
      </w:r>
      <w:r>
        <w:t xml:space="preserve"> </w:t>
      </w:r>
      <w:r>
        <w:t xml:space="preserve">cho hiệu quả doanh nghiệp châu Á 2009-2025, phạm vi rộng nhất trong các nghiên cứu kinh doanh quốc tế hiện hành (Wu et al., 2022 dừng ở 2020; Arte &amp; Larimo, 2022 dừng ở 2019).</w:t>
      </w:r>
    </w:p>
    <w:p>
      <w:pPr>
        <w:numPr>
          <w:ilvl w:val="0"/>
          <w:numId w:val="1006"/>
        </w:numPr>
      </w:pPr>
      <w:r>
        <w:rPr>
          <w:bCs/>
          <w:b/>
        </w:rPr>
        <w:t xml:space="preserve">Phân nhóm con Advanced</w:t>
      </w:r>
      <w:r>
        <w:t xml:space="preserve"> </w:t>
      </w:r>
      <w:r>
        <w:t xml:space="preserve">(innovation-driven so với resource-driven), phát hiện lý thuyết mới chưa có trong các nghiên cứu hiện hành. Tỷ số phân tán Singapore (1,03) so với Vùng Vịnh (0,49)</w:t>
      </w:r>
      <w:r>
        <w:t xml:space="preserve"> </w:t>
      </w:r>
      <m:oMath>
        <m:r>
          <m:rPr>
            <m:sty m:val="p"/>
          </m:rPr>
          <m:t>≈</m:t>
        </m:r>
      </m:oMath>
      <w:r>
        <w:t xml:space="preserve"> </w:t>
      </w:r>
      <w:r>
        <w:t xml:space="preserve">2,1 lần phản ánh hai cơ chế tăng trưởng hoàn toàn khác nhau.</w:t>
      </w:r>
    </w:p>
    <w:p>
      <w:pPr>
        <w:numPr>
          <w:ilvl w:val="0"/>
          <w:numId w:val="1006"/>
        </w:numPr>
      </w:pPr>
      <w:r>
        <w:rPr>
          <w:bCs/>
          <w:b/>
        </w:rPr>
        <w:t xml:space="preserve">Nhảy vọt số</w:t>
      </w:r>
      <w:r>
        <w:t xml:space="preserve"> </w:t>
      </w:r>
      <w:r>
        <w:t xml:space="preserve">ở Frontier và Emerging châu Á 2018-2025, mở rộng pattern từ 17 nước lên 47 nước. Phân tách Tier-1 (website nhị phân, đã bão hòa ở Advanced) và Tier-2 (tổng hợp đa thành phần, đang phát triển ở Emerging/Frontier).</w:t>
      </w:r>
    </w:p>
    <w:p>
      <w:pPr>
        <w:numPr>
          <w:ilvl w:val="0"/>
          <w:numId w:val="1006"/>
        </w:numPr>
      </w:pPr>
      <w:r>
        <w:rPr>
          <w:bCs/>
          <w:b/>
        </w:rPr>
        <w:t xml:space="preserve">Bằng chứng cho khung lý thuyết phi tuyến và điều tiết đa tầng</w:t>
      </w:r>
      <w:r>
        <w:t xml:space="preserve">, bốn lần đảo dấu xuyên phân nhóm con thể chế là cơ sở thực tiễn cho các giả thuyết của Chuyên đề 2.</w:t>
      </w:r>
    </w:p>
    <w:p>
      <w:pPr>
        <w:pStyle w:val="FirstParagraph"/>
      </w:pPr>
      <w:r>
        <w:rPr>
          <w:bCs/>
          <w:b/>
        </w:rPr>
        <w:t xml:space="preserve">Một đóng góp trường hợp biên mở rộng (SIDS Pacific)</w:t>
      </w:r>
      <w:r>
        <w:t xml:space="preserve">:</w:t>
      </w:r>
    </w:p>
    <w:p>
      <w:pPr>
        <w:numPr>
          <w:ilvl w:val="0"/>
          <w:numId w:val="1007"/>
        </w:numPr>
        <w:pStyle w:val="Compact"/>
      </w:pPr>
      <w:r>
        <w:rPr>
          <w:bCs/>
          <w:b/>
        </w:rPr>
        <w:t xml:space="preserve">Chi phí buộc phải quốc tế hóa</w:t>
      </w:r>
      <w:r>
        <w:t xml:space="preserve"> </w:t>
      </w:r>
      <w:r>
        <w:t xml:space="preserve">ở 7 SIDS Thái Bình Dương (Briguglio, 1995; Bertram, 2006), bằng chứng cấp doanh nghiệp đầu tiên trong các nghiên cứu kinh doanh quốc tế. Kiribati 2025 là trường hợp cực đoan nhất với FSTS 1,03%, FDI 0,7%, website 18,7%.</w:t>
      </w:r>
    </w:p>
    <w:p>
      <w:r>
        <w:pict>
          <v:rect style="width:0;height:1.5pt" o:hralign="center" o:hrstd="t" o:hr="t"/>
        </w:pict>
      </w:r>
    </w:p>
    <w:bookmarkEnd w:id="31"/>
    <w:bookmarkEnd w:id="32"/>
    <w:bookmarkStart w:id="33" w:name="phương-pháp-nghiên-cứu"/>
    <w:p>
      <w:pPr>
        <w:pStyle w:val="Heading2"/>
      </w:pPr>
      <w:r>
        <w:t xml:space="preserve">2.2 PHƯƠNG PHÁP NGHIÊN CỨU</w:t>
      </w:r>
    </w:p>
    <w:p>
      <w:pPr>
        <w:pStyle w:val="FirstParagraph"/>
      </w:pPr>
      <w:r>
        <w:t xml:space="preserve">Chuyên đề tiếp cận theo lối</w:t>
      </w:r>
      <w:r>
        <w:t xml:space="preserve"> </w:t>
      </w:r>
      <w:r>
        <w:rPr>
          <w:bCs/>
          <w:b/>
        </w:rPr>
        <w:t xml:space="preserve">mô tả - chẩn đoán</w:t>
      </w:r>
      <w:r>
        <w:t xml:space="preserve">, không thiết lập mô hình hồi quy đa biến để kiểm định nhân quả. Phương pháp kết hợp ba kỹ thuật: (a) thống kê mô tả đa biến (trung vị, trung bình, độ phân tán, kurtosis) theo phân nhóm thể chế và theo ngành; (b) trực quan hóa dữ liệu (heatmap, kernel density, spider chart, scatter plot, 7 hình); (c) phân tích hai biến.</w:t>
      </w:r>
    </w:p>
    <w:p>
      <w:pPr>
        <w:pStyle w:val="BodyText"/>
      </w:pPr>
      <w:r>
        <w:rPr>
          <w:bCs/>
          <w:b/>
        </w:rPr>
        <w:t xml:space="preserve">Nguồn dữ liệu</w:t>
      </w:r>
      <w:r>
        <w:t xml:space="preserve">: World Bank Enterprise Surveys (WBES), cơ sở dữ liệu vi mô doanh nghiệp cấp quốc gia lớn nhất toàn cầu, được thiết kế theo phương pháp lấy mẫu xác suất phân tầng đảm bảo tính đại diện (World Bank Enterprise Surveys, 2025). Pool tổng hợp gồm</w:t>
      </w:r>
      <w:r>
        <w:t xml:space="preserve"> </w:t>
      </w:r>
      <w:r>
        <w:rPr>
          <w:bCs/>
          <w:b/>
        </w:rPr>
        <w:t xml:space="preserve">101.185 doanh nghiệp</w:t>
      </w:r>
      <w:r>
        <w:t xml:space="preserve">, 47 nền kinh tế, 108 cặp quốc gia × năm, 14 sóng khảo sát, 2009-2025.</w:t>
      </w:r>
    </w:p>
    <w:p>
      <w:pPr>
        <w:pStyle w:val="BodyText"/>
      </w:pPr>
      <w:r>
        <w:rPr>
          <w:bCs/>
          <w:b/>
        </w:rPr>
        <w:t xml:space="preserve">Các biến đo lường chính</w:t>
      </w:r>
      <w:r>
        <w:t xml:space="preserve">:</w:t>
      </w:r>
    </w:p>
    <w:p>
      <w:pPr>
        <w:numPr>
          <w:ilvl w:val="0"/>
          <w:numId w:val="1008"/>
        </w:numPr>
      </w:pPr>
      <w:r>
        <w:rPr>
          <w:bCs/>
          <w:b/>
        </w:rPr>
        <w:t xml:space="preserve">Biến năng suất lao động (LP)</w:t>
      </w:r>
      <w:r>
        <w:t xml:space="preserve">:</w:t>
      </w:r>
      <w:r>
        <w:t xml:space="preserve"> </w:t>
      </w:r>
      <w:r>
        <w:rPr>
          <w:rStyle w:val="VerbatimChar"/>
        </w:rPr>
        <w:t xml:space="preserve">LP = ln(doanh thu bán hàng hàng năm PPP / số lao động toàn thời gian)</w:t>
      </w:r>
      <w:r>
        <w:t xml:space="preserve">. Giá trị LP được winsorize ở mức 1/99 phân vị trong cụm quốc gia × năm để kiểm soát ngoại lai, và được điều chỉnh theo sức mua tương đương (PPP) nhằm đảm bảo tính so sánh xuyên quốc gia.</w:t>
      </w:r>
    </w:p>
    <w:p>
      <w:pPr>
        <w:numPr>
          <w:ilvl w:val="0"/>
          <w:numId w:val="1008"/>
        </w:numPr>
      </w:pPr>
      <w:r>
        <w:rPr>
          <w:bCs/>
          <w:b/>
        </w:rPr>
        <w:t xml:space="preserve">Biến FSTS (Foreign Trade Sales to Total Sales)</w:t>
      </w:r>
      <w:r>
        <w:t xml:space="preserve">:</w:t>
      </w:r>
      <w:r>
        <w:t xml:space="preserve"> </w:t>
      </w:r>
      <w:r>
        <w:rPr>
          <w:rStyle w:val="VerbatimChar"/>
        </w:rPr>
        <w:t xml:space="preserve">FSTS = (d3b + d3c) / 100</w:t>
      </w:r>
      <w:r>
        <w:t xml:space="preserve">, trong đó d3b là tỷ lệ doanh thu xuất khẩu trực tiếp và d3c là tỷ lệ doanh thu xuất khẩu gián tiếp. Quan sát thiếu FSTS được gán bằng 0 nếu doanh nghiệp không xuất khẩu (d3a =</w:t>
      </w:r>
      <w:r>
        <w:t xml:space="preserve"> </w:t>
      </w:r>
      <w:r>
        <w:t xml:space="preserve">“</w:t>
      </w:r>
      <w:r>
        <w:t xml:space="preserve">Không</w:t>
      </w:r>
      <w:r>
        <w:t xml:space="preserve">”</w:t>
      </w:r>
      <w:r>
        <w:t xml:space="preserve">); gán missing nếu không trả lời.</w:t>
      </w:r>
    </w:p>
    <w:p>
      <w:pPr>
        <w:numPr>
          <w:ilvl w:val="0"/>
          <w:numId w:val="1008"/>
        </w:numPr>
      </w:pPr>
      <w:r>
        <w:rPr>
          <w:bCs/>
          <w:b/>
        </w:rPr>
        <w:t xml:space="preserve">Biến TCI (Technological Capability Index)</w:t>
      </w:r>
      <w:r>
        <w:t xml:space="preserve">: Trung bình chuẩn hóa z của tối thiểu 3 trong 4 thành phần: ISO (b8), R&amp;D (h8), đổi mới sản phẩm (h1), công nghệ nước ngoài (e6). Yêu cầu $</w:t>
      </w:r>
      <w:r>
        <w:t xml:space="preserve">$3 non-missing để tính tổng hợp.</w:t>
      </w:r>
    </w:p>
    <w:p>
      <w:pPr>
        <w:numPr>
          <w:ilvl w:val="0"/>
          <w:numId w:val="1008"/>
        </w:numPr>
      </w:pPr>
      <w:r>
        <w:rPr>
          <w:bCs/>
          <w:b/>
        </w:rPr>
        <w:t xml:space="preserve">Biến DAI (Digital Adoption Index)</w:t>
      </w:r>
      <w:r>
        <w:t xml:space="preserve">: Spec 1 (toàn bộ 2009-2025): website nhị phân (c22b/e8),</w:t>
      </w:r>
      <w:r>
        <w:t xml:space="preserve"> </w:t>
      </w:r>
      <w:r>
        <w:rPr>
          <w:bCs/>
          <w:b/>
        </w:rPr>
        <w:t xml:space="preserve">Tier-1 Sự hiện diện số cơ bản</w:t>
      </w:r>
      <w:r>
        <w:t xml:space="preserve">. Spec 2 (BREADY 2018+ trở lên): tổng hợp chuẩn hóa z website + cường độ thanh toán điện tử (k33/k38),</w:t>
      </w:r>
      <w:r>
        <w:t xml:space="preserve"> </w:t>
      </w:r>
      <w:r>
        <w:rPr>
          <w:bCs/>
          <w:b/>
        </w:rPr>
        <w:t xml:space="preserve">Tier-2 Chuyển đổi số cơ bản</w:t>
      </w:r>
      <w:r>
        <w:t xml:space="preserve">.</w:t>
      </w:r>
    </w:p>
    <w:p>
      <w:pPr>
        <w:pStyle w:val="FirstParagraph"/>
      </w:pPr>
      <w:r>
        <w:rPr>
          <w:bCs/>
          <w:b/>
        </w:rPr>
        <w:t xml:space="preserve">Hài hòa hóa xuyên ba thế hệ schema</w:t>
      </w:r>
      <w:r>
        <w:t xml:space="preserve">: World Bank Enterprise Surveys trải qua ba thế hệ schema trong giai đoạn nghiên cứu. Thế hệ 1, PICS3/MENA-WBES (2009-2012, n=14.171): bảng hỏi PICS3 cho khu vực Đông Nam Á và Trung Á. Thế hệ 2, Standardized (2013-2017, n=24.564): áp dụng đồng nhất xuyên toàn cầu từ 2013. Thế hệ 3, BREADY/BEE/EAP Core (2018-2025, n=62.450): tích hợp thanh toán điện tử, điện toán đám mây, ngân hàng di động vào các module bổ sung, gây</w:t>
      </w:r>
      <w:r>
        <w:t xml:space="preserve"> </w:t>
      </w:r>
      <w:r>
        <w:rPr>
          <w:bCs/>
          <w:b/>
        </w:rPr>
        <w:t xml:space="preserve">đứt gãy schema</w:t>
      </w:r>
      <w:r>
        <w:t xml:space="preserve"> </w:t>
      </w:r>
      <w:r>
        <w:t xml:space="preserve">quan sát được: Ấn Độ FSTS sụt 7,7% xuống 2,7% trong đợt 2025.</w:t>
      </w:r>
    </w:p>
    <w:p>
      <w:pPr>
        <w:pStyle w:val="BodyText"/>
      </w:pPr>
      <w:r>
        <w:rPr>
          <w:bCs/>
          <w:b/>
        </w:rPr>
        <w:t xml:space="preserve">Nguyên tắc minh bạch dữ liệu</w:t>
      </w:r>
      <w:r>
        <w:t xml:space="preserve"> </w:t>
      </w:r>
      <w:r>
        <w:t xml:space="preserve">(Aguinis et al., 2019): chuyên đề trình bày rõ (i) định nghĩa tổng thể (47 nền kinh tế châu Á và Thái Bình Dương, phân tách 41 và 7); (ii) quy trình lấy mẫu (lấy mẫu chính thức WBES); (iii) lý giải quy mô mẫu (pool 101.185); (iv) xử lý giá trị thiếu (FSTS = d3b + d3c, winsorize 1/99); (v) xây dựng biến; (vi) độ tin cậy và giá trị (TCI đa thành phần; DAI đơn thành phần Spec 1, đa thành phần Spec 2); (vii) phương pháp ước lượng (mô tả trong CĐ1; OLS và biến công cụ trong CĐ2); (viii) khoa học mở.</w:t>
      </w:r>
    </w:p>
    <w:p>
      <w:pPr>
        <w:pStyle w:val="BodyText"/>
      </w:pPr>
      <w:r>
        <w:rPr>
          <w:bCs/>
          <w:b/>
        </w:rPr>
        <w:t xml:space="preserve">Hệ thống phòng thủ ba tầng cho đứt gãy schema BREADY 2025</w:t>
      </w:r>
      <w:r>
        <w:t xml:space="preserve">: Đợt 2025 (n=17.053 doanh nghiệp, 16,9% pool; bao gồm Nepal 2025 BREADY Micro n=1.740) sử dụng schema mới BREADY gây biến động bất thường: Ấn Độ FSTS giảm từ 7,7% xuống 2,7%; R&amp;D nhiều nước tăng đột biến do hiệu ứng bảng hỏi chứ không phải thực tế. Ba đề xuất phương pháp: (3a) biến giả</w:t>
      </w:r>
      <w:r>
        <w:t xml:space="preserve"> </w:t>
      </w:r>
      <w:r>
        <w:rPr>
          <w:rStyle w:val="VerbatimChar"/>
        </w:rPr>
        <w:t xml:space="preserve">Post_BREADY_2024</w:t>
      </w:r>
      <w:r>
        <w:t xml:space="preserve"> </w:t>
      </w:r>
      <w:r>
        <w:t xml:space="preserve">hấp thụ hiệu ứng schema tĩnh; (3b) mô hình neo (anchor model), chạy hồi quy với dữ liệu đến 2024, khóa hệ số, kiểm định ổn định với dữ liệu đầy đủ bằng Chow test; (3c) panel hậu đại dịch độc lập, tách 2025 thành tập xác thực ngoài mẫu cho kỷ nguyên hậu COVID và AI.</w:t>
      </w:r>
    </w:p>
    <w:p>
      <w:r>
        <w:pict>
          <v:rect style="width:0;height:1.5pt" o:hralign="center" o:hrstd="t" o:hr="t"/>
        </w:pict>
      </w:r>
    </w:p>
    <w:bookmarkEnd w:id="33"/>
    <w:bookmarkStart w:id="76" w:name="nội-dung-nghiên-cứu"/>
    <w:p>
      <w:pPr>
        <w:pStyle w:val="Heading2"/>
      </w:pPr>
      <w:r>
        <w:t xml:space="preserve">2.3 NỘI DUNG NGHIÊN CỨU</w:t>
      </w:r>
    </w:p>
    <w:bookmarkStart w:id="40" w:name="Xb7f628376877e6b3394a2ce7cb98209bea18ab9"/>
    <w:p>
      <w:pPr>
        <w:pStyle w:val="Heading3"/>
      </w:pPr>
      <w:r>
        <w:t xml:space="preserve">2.3.1 Cơ sở lý luận về hiệu quả hoạt động kinh doanh</w:t>
      </w:r>
    </w:p>
    <w:bookmarkStart w:id="34" w:name="khái-niệm-hiệu-quả-hoạt-động-kinh-doanh"/>
    <w:p>
      <w:pPr>
        <w:pStyle w:val="Heading4"/>
      </w:pPr>
      <w:r>
        <w:t xml:space="preserve">2.3.1.1 Khái niệm hiệu quả hoạt động kinh doanh</w:t>
      </w:r>
    </w:p>
    <w:p>
      <w:pPr>
        <w:pStyle w:val="FirstParagraph"/>
      </w:pPr>
      <w:r>
        <w:t xml:space="preserve">Hiệu quả hoạt động kinh doanh (firm performance) là khái niệm</w:t>
      </w:r>
      <w:r>
        <w:t xml:space="preserve"> </w:t>
      </w:r>
      <w:r>
        <w:rPr>
          <w:bCs/>
          <w:b/>
        </w:rPr>
        <w:t xml:space="preserve">đa chiều</w:t>
      </w:r>
      <w:r>
        <w:t xml:space="preserve"> </w:t>
      </w:r>
      <w:r>
        <w:t xml:space="preserve">phản ánh mức độ đạt được các mục tiêu chiến lược của doanh nghiệp theo thời gian và trong bối cảnh thể chế cụ thể. Venkatraman và Ramanujam (1986) phân biệt hai tầng: (a)</w:t>
      </w:r>
      <w:r>
        <w:t xml:space="preserve"> </w:t>
      </w:r>
      <w:r>
        <w:rPr>
          <w:bCs/>
          <w:b/>
        </w:rPr>
        <w:t xml:space="preserve">hiệu quả tài chính</w:t>
      </w:r>
      <w:r>
        <w:t xml:space="preserve">, doanh thu, lợi nhuận, tỷ suất sinh lợi; và (b)</w:t>
      </w:r>
      <w:r>
        <w:t xml:space="preserve"> </w:t>
      </w:r>
      <w:r>
        <w:rPr>
          <w:bCs/>
          <w:b/>
        </w:rPr>
        <w:t xml:space="preserve">hiệu quả hoạt động rộng hơn</w:t>
      </w:r>
      <w:r>
        <w:t xml:space="preserve">, thị phần, đổi mới, năng suất, tăng trưởng việc làm. Lý thuyết dựa trên nguồn lực (Barney, 1991; Wernerfelt, 1984) xem hiệu quả doanh nghiệp là kết quả của việc tích lũy và khai thác</w:t>
      </w:r>
      <w:r>
        <w:t xml:space="preserve"> </w:t>
      </w:r>
      <w:r>
        <w:rPr>
          <w:bCs/>
          <w:b/>
        </w:rPr>
        <w:t xml:space="preserve">nguồn lực chiến lược</w:t>
      </w:r>
      <w:r>
        <w:t xml:space="preserve"> </w:t>
      </w:r>
      <w:r>
        <w:t xml:space="preserve">(có giá trị, hiếm, không thể sao chép, không thể thay thế, VRIN), trong khi quan điểm thể chế (North, 1990; Scott, 1995; Peng, 2001) nhấn mạnh rằng hiệu quả này bị định hình mạnh bởi</w:t>
      </w:r>
      <w:r>
        <w:t xml:space="preserve"> </w:t>
      </w:r>
      <w:r>
        <w:rPr>
          <w:bCs/>
          <w:b/>
        </w:rPr>
        <w:t xml:space="preserve">môi trường thể chế</w:t>
      </w:r>
      <w:r>
        <w:t xml:space="preserve"> </w:t>
      </w:r>
      <w:r>
        <w:t xml:space="preserve">nơi doanh nghiệp hoạt động.</w:t>
      </w:r>
    </w:p>
    <w:p>
      <w:pPr>
        <w:pStyle w:val="BodyText"/>
      </w:pPr>
      <w:r>
        <w:t xml:space="preserve">Trong bối cảnh nghiên cứu xuyên quốc gia, khái niệm hiệu quả cần được</w:t>
      </w:r>
      <w:r>
        <w:t xml:space="preserve"> </w:t>
      </w:r>
      <w:r>
        <w:rPr>
          <w:bCs/>
          <w:b/>
        </w:rPr>
        <w:t xml:space="preserve">tiêu chuẩn hóa</w:t>
      </w:r>
      <w:r>
        <w:t xml:space="preserve"> </w:t>
      </w:r>
      <w:r>
        <w:t xml:space="preserve">để so sánh được. Theo Cusolito và Maloney (2018),</w:t>
      </w:r>
      <w:r>
        <w:t xml:space="preserve"> </w:t>
      </w:r>
      <w:r>
        <w:rPr>
          <w:bCs/>
          <w:b/>
        </w:rPr>
        <w:t xml:space="preserve">năng suất lao động</w:t>
      </w:r>
      <w:r>
        <w:t xml:space="preserve">, đo bằng giá trị gia tăng trên lao động hoặc doanh thu trên lao động, là thước đo phổ biến nhất trong các nghiên cứu WBES vì: (a) tính khả dụng cao xuyên 3 thế hệ schema; (b) ít bị biến dạng bởi cơ cấu vốn hay cơ chế thuế quốc gia; (c) phản ánh trực tiếp năng lực chuyển đổi đầu vào thành đầu ra. Trong chuyên đề này, năng suất lao động được tính bằng:</w:t>
      </w:r>
    </w:p>
    <w:p>
      <w:pPr>
        <w:pStyle w:val="BodyText"/>
      </w:pPr>
      <w:r>
        <w:rPr>
          <w:bCs/>
          <w:b/>
        </w:rPr>
        <w:t xml:space="preserve">LP = ln(Doanh thu bán hàng hàng năm PPP / Số lao động toàn thời gian)</w:t>
      </w:r>
    </w:p>
    <w:p>
      <w:pPr>
        <w:pStyle w:val="BodyText"/>
      </w:pPr>
      <w:r>
        <w:t xml:space="preserve">Giá trị LP được winsorize ở mức 1/99 phân vị trong cụm quốc gia × năm để kiểm soát ngoại lai và được điều chỉnh theo sức mua tương đương nhằm đảm bảo tính so sánh xuyên quốc gia (World Bank Enterprise Surveys, 2025).</w:t>
      </w:r>
    </w:p>
    <w:bookmarkEnd w:id="34"/>
    <w:bookmarkStart w:id="35" w:name="bốn-chiều-đo-lường-hiệu-quả"/>
    <w:p>
      <w:pPr>
        <w:pStyle w:val="Heading4"/>
      </w:pPr>
      <w:r>
        <w:t xml:space="preserve">2.3.1.2 Bốn chiều đo lường hiệu quả</w:t>
      </w:r>
    </w:p>
    <w:p>
      <w:pPr>
        <w:pStyle w:val="FirstParagraph"/>
      </w:pPr>
      <w:r>
        <w:t xml:space="preserve">Hiệu quả doanh nghiệp trong chuyên đề này được đo lường theo</w:t>
      </w:r>
      <w:r>
        <w:t xml:space="preserve"> </w:t>
      </w:r>
      <w:r>
        <w:rPr>
          <w:bCs/>
          <w:b/>
        </w:rPr>
        <w:t xml:space="preserve">bốn chiều</w:t>
      </w:r>
      <w:r>
        <w:t xml:space="preserve"> </w:t>
      </w:r>
      <w:r>
        <w:t xml:space="preserve">tương ứng với bốn nhóm biến WBES:</w:t>
      </w:r>
    </w:p>
    <w:p>
      <w:pPr>
        <w:pStyle w:val="BodyText"/>
      </w:pPr>
      <w:r>
        <w:rPr>
          <w:bCs/>
          <w:b/>
        </w:rPr>
        <w:t xml:space="preserve">Chiều 1, Năng suất lao động</w:t>
      </w:r>
      <w:r>
        <w:t xml:space="preserve">. Biến đo lường chính: LP = ln(doanh thu hàng năm PPP / số lao động toàn thời gian). Đây là</w:t>
      </w:r>
      <w:r>
        <w:t xml:space="preserve"> </w:t>
      </w:r>
      <w:r>
        <w:rPr>
          <w:bCs/>
          <w:b/>
        </w:rPr>
        <w:t xml:space="preserve">thước đo chính</w:t>
      </w:r>
      <w:r>
        <w:t xml:space="preserve"> </w:t>
      </w:r>
      <w:r>
        <w:t xml:space="preserve">xuyên suốt phân tích, được lựa chọn vì: (a) có thể tính cho hầu hết các nền kinh tế trong pool; (b) không bị nhiễu bởi cơ cấu thuế và chính sách chuyển giá quốc gia; (c) có giá trị tham chiếu rõ ràng trong các nghiên cứu quốc tế (Hsieh &amp; Klenow, 2009, 2014).</w:t>
      </w:r>
    </w:p>
    <w:p>
      <w:pPr>
        <w:pStyle w:val="BodyText"/>
      </w:pPr>
      <w:r>
        <w:rPr>
          <w:bCs/>
          <w:b/>
        </w:rPr>
        <w:t xml:space="preserve">Chiều 2, Lợi nhuận và biên lợi nhuận</w:t>
      </w:r>
      <w:r>
        <w:t xml:space="preserve">. Biến đo lường: (a) tỷ suất lợi nhuận hoạt động từ câu hỏi WBES về doanh thu sau chi phí lao động; (b) chỉ số gián tiếp qua khả năng tái đầu tư. Hạn chế: nhiều doanh nghiệp trong WBES không tiết lộ lợi nhuận cụ thể, chiều này mang tính hỗ trợ thay vì chủ đạo.</w:t>
      </w:r>
    </w:p>
    <w:p>
      <w:pPr>
        <w:pStyle w:val="BodyText"/>
      </w:pPr>
      <w:r>
        <w:rPr>
          <w:bCs/>
          <w:b/>
        </w:rPr>
        <w:t xml:space="preserve">Chiều 3, Tăng trưởng</w:t>
      </w:r>
      <w:r>
        <w:t xml:space="preserve">. Biến đo lường: (a) tốc độ tăng trưởng việc làm hàng năm kép giữa 3 năm trước và thời điểm khảo sát; (b) tỷ lệ doanh nghiệp xuất khẩu như proxy cho mở rộng thị trường. Tăng trưởng việc làm được ưu tiên vì: (a) ít nhạy cảm với thay đổi giá cả so với doanh thu; (b) phản ánh khả năng tạo việc làm bền vững, quan trọng cho mục tiêu chính sách.</w:t>
      </w:r>
    </w:p>
    <w:p>
      <w:pPr>
        <w:pStyle w:val="BodyText"/>
      </w:pPr>
      <w:r>
        <w:rPr>
          <w:bCs/>
          <w:b/>
        </w:rPr>
        <w:t xml:space="preserve">Chiều 4, Đổi mới sáng tạo và cấu trúc doanh nghiệp</w:t>
      </w:r>
      <w:r>
        <w:t xml:space="preserve">. Biến đo lường: (a) R&amp;D (tỷ lệ doanh nghiệp có chi tiêu R&amp;D dương); (b) đổi mới sản phẩm mới; (c) đổi mới quy trình mới; (d) chứng nhận ISO; (e) website (Tier-1 Sự hiện diện số cơ bản); (f) FDI $</w:t>
      </w:r>
      <w:r>
        <w:t xml:space="preserve">$10% (cơ cấu sở hữu). Chiều thứ tư phản ánh</w:t>
      </w:r>
      <w:r>
        <w:t xml:space="preserve"> </w:t>
      </w:r>
      <w:r>
        <w:rPr>
          <w:bCs/>
          <w:b/>
        </w:rPr>
        <w:t xml:space="preserve">năng lực tương lai</w:t>
      </w:r>
      <w:r>
        <w:t xml:space="preserve">, khả năng duy trì hiệu quả trong dài hạn qua đổi mới và nâng cấp công nghệ.</w:t>
      </w:r>
    </w:p>
    <w:bookmarkEnd w:id="35"/>
    <w:bookmarkStart w:id="36" w:name="X2c7f585e09b8fb059a51dfbd43e18e81f2f412a"/>
    <w:p>
      <w:pPr>
        <w:pStyle w:val="Heading4"/>
      </w:pPr>
      <w:r>
        <w:t xml:space="preserve">2.3.1.3 Năm meta-analysis lớn về quan hệ quốc tế hóa - hiệu quả (1980-2024)</w:t>
      </w:r>
    </w:p>
    <w:p>
      <w:pPr>
        <w:pStyle w:val="FirstParagraph"/>
      </w:pPr>
      <w:r>
        <w:t xml:space="preserve">Quan hệ quốc tế hóa - hiệu quả là một trong những dòng nghiên cứu tích lũy nhiều nhất trong lý thuyết kinh doanh quốc tế. Năm meta-analysis lớn cung cấp nền tảng thực nghiệm:</w:t>
      </w:r>
    </w:p>
    <w:p>
      <w:pPr>
        <w:pStyle w:val="BodyText"/>
      </w:pPr>
      <w:r>
        <w:rPr>
          <w:bCs/>
          <w:b/>
        </w:rPr>
        <w:t xml:space="preserve">(1) Bausch &amp; Krist (2007)</w:t>
      </w:r>
      <w:r>
        <w:t xml:space="preserve">: Tổng hợp</w:t>
      </w:r>
      <w:r>
        <w:t xml:space="preserve"> </w:t>
      </w:r>
      <w:r>
        <w:rPr>
          <w:bCs/>
          <w:b/>
        </w:rPr>
        <w:t xml:space="preserve">68 nghiên cứu</w:t>
      </w:r>
      <w:r>
        <w:t xml:space="preserve"> </w:t>
      </w:r>
      <w:r>
        <w:t xml:space="preserve">giai đoạn 1980-2005. Hệ số tương quan trung bình r=0,045, tích cực nhưng nhỏ. Phát hiện chính: đo lường quốc tế hóa và hiệu quả rất không đồng nhất giữa các nghiên cứu, hạn chế khả năng so sánh. Khoảng trống: ít nghiên cứu châu Á mới nổi.</w:t>
      </w:r>
    </w:p>
    <w:p>
      <w:pPr>
        <w:pStyle w:val="BodyText"/>
      </w:pPr>
      <w:r>
        <w:rPr>
          <w:bCs/>
          <w:b/>
        </w:rPr>
        <w:t xml:space="preserve">(2) Kirca et al. (2012)</w:t>
      </w:r>
      <w:r>
        <w:t xml:space="preserve">: Tổng hợp</w:t>
      </w:r>
      <w:r>
        <w:t xml:space="preserve"> </w:t>
      </w:r>
      <w:r>
        <w:rPr>
          <w:bCs/>
          <w:b/>
        </w:rPr>
        <w:t xml:space="preserve">180 nghiên cứu</w:t>
      </w:r>
      <w:r>
        <w:t xml:space="preserve"> </w:t>
      </w:r>
      <w:r>
        <w:t xml:space="preserve">với phân tích điều tiết meta-analytic. Phát hiện: quan hệ quốc tế hóa - hiệu quả dương và có ý nghĩa thống kê; nhưng bị điều tiết bởi loại doanh nghiệp, phương thức đo lường, bối cảnh quốc gia. Quan trọng: các doanh nghiệp châu Á và các nền kinh tế mới nổi biểu hiện pattern khác biệt so với doanh nghiệp OECD.</w:t>
      </w:r>
    </w:p>
    <w:p>
      <w:pPr>
        <w:pStyle w:val="BodyText"/>
      </w:pPr>
      <w:r>
        <w:rPr>
          <w:bCs/>
          <w:b/>
        </w:rPr>
        <w:t xml:space="preserve">(3) Marano et al. (2016)</w:t>
      </w:r>
      <w:r>
        <w:t xml:space="preserve">: Tập trung vào thể chế hóa nghiên cứu quốc tế hóa - hiệu quả. Phát hiện: chất lượng thể chế nước chủ nhà là biến điều tiết quan trọng nhất, giải thích phần lớn phương sai không giải thích được trong các meta-analysis trước. Đặt nền tảng cho khung ICRV trong chuyên đề này.</w:t>
      </w:r>
    </w:p>
    <w:p>
      <w:pPr>
        <w:pStyle w:val="BodyText"/>
      </w:pPr>
      <w:r>
        <w:rPr>
          <w:bCs/>
          <w:b/>
        </w:rPr>
        <w:t xml:space="preserve">(4) Schwens et al. (2018)</w:t>
      </w:r>
      <w:r>
        <w:t xml:space="preserve">: Tổng hợp các yếu tố điều tiết mức độ tác động của quốc tế hóa. Phát hiện: năng lực hấp thụ (Cohen &amp; Levinthal, 1990), chất lượng lãnh đạo, và phát triển thể chế là các biến điều tiết quan trọng nhất.</w:t>
      </w:r>
    </w:p>
    <w:p>
      <w:pPr>
        <w:pStyle w:val="BodyText"/>
      </w:pPr>
      <w:r>
        <w:rPr>
          <w:bCs/>
          <w:b/>
        </w:rPr>
        <w:t xml:space="preserve">(5) Wu, Fan &amp; Chen (2022)</w:t>
      </w:r>
      <w:r>
        <w:t xml:space="preserve">: Cập nhật meta-analysis đến 2020, tập trung vào</w:t>
      </w:r>
      <w:r>
        <w:t xml:space="preserve"> </w:t>
      </w:r>
      <w:r>
        <w:rPr>
          <w:bCs/>
          <w:b/>
        </w:rPr>
        <w:t xml:space="preserve">doanh nghiệp đa quốc gia mới nổi châu Á</w:t>
      </w:r>
      <w:r>
        <w:t xml:space="preserve">. Phát hiện: quan hệ quốc tế hóa - hiệu quả ở doanh nghiệp mới nổi châu Á có hình dạng U ngược rõ nét hơn so với doanh nghiệp OECD; điểm uốn thường nằm trong phạm vi 30-50% FSTS.</w:t>
      </w:r>
    </w:p>
    <w:p>
      <w:pPr>
        <w:pStyle w:val="BodyText"/>
      </w:pPr>
      <w:r>
        <w:rPr>
          <w:bCs/>
          <w:b/>
        </w:rPr>
        <w:t xml:space="preserve">Khoảng trống từ 5 meta-analyses</w:t>
      </w:r>
      <w:r>
        <w:t xml:space="preserve">: Không một meta-analysis nào trong số trên có dữ liệu WBES xuyên 47 nền kinh tế với phân loại ICRV 6 nhóm. Không có nghiên cứu nào phân biệt tường minh Tier-1 và Tier-2 áp dụng số như biến điều tiết riêng biệt. Khoảng trống này là nền tảng cho phần thảo luận về các khoảng trống nghiên cứu trong mục 2.3.9.</w:t>
      </w:r>
    </w:p>
    <w:bookmarkEnd w:id="36"/>
    <w:bookmarkStart w:id="37" w:name="ba-khung-lý-thuyết-nền"/>
    <w:p>
      <w:pPr>
        <w:pStyle w:val="Heading4"/>
      </w:pPr>
      <w:r>
        <w:t xml:space="preserve">2.3.1.4 Ba khung lý thuyết nền</w:t>
      </w:r>
    </w:p>
    <w:p>
      <w:pPr>
        <w:pStyle w:val="FirstParagraph"/>
      </w:pPr>
      <w:r>
        <w:t xml:space="preserve">Ba khung lý thuyết cung cấp nền tảng giải thích cho các pattern thực trạng được quan sát:</w:t>
      </w:r>
    </w:p>
    <w:p>
      <w:pPr>
        <w:pStyle w:val="BodyText"/>
      </w:pPr>
      <w:r>
        <w:rPr>
          <w:bCs/>
          <w:b/>
        </w:rPr>
        <w:t xml:space="preserve">Khung 1, Lý thuyết Uppsala</w:t>
      </w:r>
      <w:r>
        <w:t xml:space="preserve"> </w:t>
      </w:r>
      <w:r>
        <w:t xml:space="preserve">(Johanson &amp; Vahlne, 1977, 2009): Doanh nghiệp quốc tế hóa theo</w:t>
      </w:r>
      <w:r>
        <w:t xml:space="preserve"> </w:t>
      </w:r>
      <w:r>
        <w:rPr>
          <w:bCs/>
          <w:b/>
        </w:rPr>
        <w:t xml:space="preserve">lộ trình tiệm tiến</w:t>
      </w:r>
      <w:r>
        <w:t xml:space="preserve">, bắt đầu từ các thị trường gần về tâm lý rồi mở rộng dần. Phiên bản 2009 cập nhật: mạng lưới quan hệ kinh doanh thay thế khoảng cách tâm lý như cơ chế dẫn dắt. Hàm ý cho chuyên đề: (a) pattern FSTS thấp ở SIDS Pacific (6,3%) và FSTS cao liên kết FDI ở Việt Nam (23,2%) phù hợp với đường cong học hỏi Uppsala; (b) các công cụ số theo Banalieva &amp; Dhanaraj (2019) có thể rút ngắn lộ trình tiệm tiến ở giai đoạn đầu, nhưng cần Tier-2 để phát huy đầy đủ.</w:t>
      </w:r>
    </w:p>
    <w:p>
      <w:pPr>
        <w:pStyle w:val="BodyText"/>
      </w:pPr>
      <w:r>
        <w:rPr>
          <w:bCs/>
          <w:b/>
        </w:rPr>
        <w:t xml:space="preserve">Khung 2, Quan điểm dựa trên nguồn lực và năng lực động</w:t>
      </w:r>
      <w:r>
        <w:t xml:space="preserve"> </w:t>
      </w:r>
      <w:r>
        <w:t xml:space="preserve">(Barney, 1991; Teece et al., 1997; Wernerfelt, 1984): Doanh nghiệp đạt lợi thế cạnh tranh bền vững thông qua nguồn lực VRIN và khả năng tái cấu hình năng lực theo biến động môi trường. Hàm ý cho chuyên đề: (a) TCI (năng lực công nghệ) là proxy cho nguồn lực khó sao chép, giải thích tại sao Advanced innovation-driven (ISO 29,9%, R&amp;D 16,7%) có năng suất vượt trội; (b) năng lực hấp thụ (Cohen &amp; Levinthal, 1990) giải thích tại sao tác động lan tỏa FDI tích cực hơn ở Ấn Độ với R&amp;D 19,8% so với Việt Nam 6,1%.</w:t>
      </w:r>
    </w:p>
    <w:p>
      <w:pPr>
        <w:pStyle w:val="BodyText"/>
      </w:pPr>
      <w:r>
        <w:rPr>
          <w:bCs/>
          <w:b/>
        </w:rPr>
        <w:t xml:space="preserve">Khung 3, Lý thuyết thể chế</w:t>
      </w:r>
      <w:r>
        <w:t xml:space="preserve"> </w:t>
      </w:r>
      <w:r>
        <w:t xml:space="preserve">(North, 1990; Scott, 1995; Peng, 2001, 2003): Thể chế, luật pháp, chuẩn mực, quy tắc phi chính thức, định hình chi phí giao dịch và cơ hội chiến lược cho doanh nghiệp. Peng (2001, 2003) xây dựng</w:t>
      </w:r>
      <w:r>
        <w:t xml:space="preserve"> </w:t>
      </w:r>
      <w:r>
        <w:rPr>
          <w:bCs/>
          <w:b/>
        </w:rPr>
        <w:t xml:space="preserve">khung thể chế dựa trên giao dịch</w:t>
      </w:r>
      <w:r>
        <w:t xml:space="preserve"> </w:t>
      </w:r>
      <w:r>
        <w:t xml:space="preserve">cho các nền kinh tế mới nổi, lý giải tại sao quan hệ quốc tế hóa - hiệu quả không đồng nhất xuyên chế độ thể chế. Hàm ý: (a) bốn lần đảo dấu của hệ số FDI/FSTS/TCI/DAI xuyên 5 phân nhóm con ICRV (Bảng 2.3.8.1) là bằng chứng trực tiếp cho điều tiết thể chế; (b) Xu (2024) làm sâu thêm bằng phân biệt</w:t>
      </w:r>
      <w:r>
        <w:t xml:space="preserve"> </w:t>
      </w:r>
      <w:r>
        <w:rPr>
          <w:bCs/>
          <w:b/>
        </w:rPr>
        <w:t xml:space="preserve">de jure</w:t>
      </w:r>
      <w:r>
        <w:t xml:space="preserve"> </w:t>
      </w:r>
      <w:r>
        <w:t xml:space="preserve">(luật trên giấy) so với</w:t>
      </w:r>
      <w:r>
        <w:t xml:space="preserve"> </w:t>
      </w:r>
      <w:r>
        <w:rPr>
          <w:bCs/>
          <w:b/>
        </w:rPr>
        <w:t xml:space="preserve">de facto</w:t>
      </w:r>
      <w:r>
        <w:t xml:space="preserve"> </w:t>
      </w:r>
      <w:r>
        <w:t xml:space="preserve">(thực thi thực tế), giải thích tại sao Việt Nam và Trung Quốc có gap lớn giữa hai tầng này; (c) khung ICRV 6 nhóm là sự vận hành hóa Lý thuyết thể chế theo hướng này.</w:t>
      </w:r>
    </w:p>
    <w:bookmarkEnd w:id="37"/>
    <w:bookmarkStart w:id="38" w:name="X1a8b5920726a715638e9b692b5093988b2836eb"/>
    <w:p>
      <w:pPr>
        <w:pStyle w:val="Heading4"/>
      </w:pPr>
      <w:r>
        <w:t xml:space="preserve">2.3.1.5 Điều kiện biên cho U-curve Lu &amp; Beamish (2004)</w:t>
      </w:r>
    </w:p>
    <w:p>
      <w:pPr>
        <w:pStyle w:val="FirstParagraph"/>
      </w:pPr>
      <w:r>
        <w:rPr>
          <w:bCs/>
          <w:b/>
        </w:rPr>
        <w:t xml:space="preserve">Ba điều kiện cấu trúc bắt buộc cho mô hình U-curve vận hành</w:t>
      </w:r>
      <w:r>
        <w:t xml:space="preserve">:</w:t>
      </w:r>
    </w:p>
    <w:p>
      <w:pPr>
        <w:pStyle w:val="BodyText"/>
      </w:pPr>
      <w:r>
        <w:rPr>
          <w:bCs/>
          <w:b/>
        </w:rPr>
        <w:t xml:space="preserve">(1) Điều kiện thị trường nội địa khả thi</w:t>
      </w:r>
      <w:r>
        <w:t xml:space="preserve">: Doanh nghiệp có thể bán hàng nội địa ở quy mô đủ để tích lũy năng lực kinh doanh trước khi quốc tế hóa. Điều kiện này thỏa mãn ở Singapore (5,9 triệu dân, GDP bình quân đầu người ~80.000 USD), Trung Quốc (1,4 tỷ dân), Việt Nam (98 triệu dân),</w:t>
      </w:r>
      <w:r>
        <w:t xml:space="preserve"> </w:t>
      </w:r>
      <w:r>
        <w:rPr>
          <w:bCs/>
          <w:b/>
        </w:rPr>
        <w:t xml:space="preserve">không</w:t>
      </w:r>
      <w:r>
        <w:t xml:space="preserve"> </w:t>
      </w:r>
      <w:r>
        <w:t xml:space="preserve">thỏa mãn ở Kiribati (130.000 dân, GDP bình quân đầu người ~1.700 USD).</w:t>
      </w:r>
    </w:p>
    <w:p>
      <w:pPr>
        <w:pStyle w:val="BodyText"/>
      </w:pPr>
      <w:r>
        <w:rPr>
          <w:bCs/>
          <w:b/>
        </w:rPr>
        <w:t xml:space="preserve">(2) Điều kiện chi phí thương mại kiểm soát được</w:t>
      </w:r>
      <w:r>
        <w:t xml:space="preserve">: Logistics, vận tải, quy định xuất nhập khẩu nằm trong khoảng kinh tế. Điều kiện này thỏa mãn ở châu Á đại lục,</w:t>
      </w:r>
      <w:r>
        <w:t xml:space="preserve"> </w:t>
      </w:r>
      <w:r>
        <w:rPr>
          <w:bCs/>
          <w:b/>
        </w:rPr>
        <w:t xml:space="preserve">không</w:t>
      </w:r>
      <w:r>
        <w:t xml:space="preserve"> </w:t>
      </w:r>
      <w:r>
        <w:t xml:space="preserve">thỏa mãn đầy đủ ở SIDS Pacific xa hub thương mại (Fiji-Auckland 2.100 km, Kiribati-Suva 2.700 km).</w:t>
      </w:r>
    </w:p>
    <w:p>
      <w:pPr>
        <w:pStyle w:val="BodyText"/>
      </w:pPr>
      <w:r>
        <w:rPr>
          <w:bCs/>
          <w:b/>
        </w:rPr>
        <w:t xml:space="preserve">(3) Điều kiện thể chế vận hành</w:t>
      </w:r>
      <w:r>
        <w:t xml:space="preserve">: Khung pháp lý, quyền sở hữu trí tuệ, thực thi hợp đồng, hạ tầng ngân hàng ở mức tối thiểu. Điều kiện này thỏa mãn ở Advanced và Upper-middle,</w:t>
      </w:r>
      <w:r>
        <w:t xml:space="preserve"> </w:t>
      </w:r>
      <w:r>
        <w:rPr>
          <w:bCs/>
          <w:b/>
        </w:rPr>
        <w:t xml:space="preserve">không</w:t>
      </w:r>
      <w:r>
        <w:t xml:space="preserve"> </w:t>
      </w:r>
      <w:r>
        <w:t xml:space="preserve">thỏa mãn đầy đủ ở SIDS cô lập (Kiribati ISO 1,3%, FDI 0,7%) hay vùng xung đột Frontier; nhóm Emerging có gap de jure-de facto lớn (Xu, 2024).</w:t>
      </w:r>
    </w:p>
    <w:p>
      <w:pPr>
        <w:pStyle w:val="BodyText"/>
      </w:pPr>
      <w:r>
        <w:rPr>
          <w:bCs/>
          <w:b/>
        </w:rPr>
        <w:t xml:space="preserve">Bảng 2.3.1.1</w:t>
      </w:r>
      <w:r>
        <w:t xml:space="preserve">.</w:t>
      </w:r>
      <w:r>
        <w:t xml:space="preserve"> </w:t>
      </w:r>
      <w:r>
        <w:rPr>
          <w:iCs/>
          <w:i/>
        </w:rPr>
        <w:t xml:space="preserve">Ma trận đối chiếu 3 trạng thái U-curve theo 3 điều kiện cấu trúc.</w:t>
      </w:r>
    </w:p>
    <w:tbl>
      <w:tblPr>
        <w:tblStyle w:val="Table"/>
        <w:tblW w:type="pct" w:w="5000"/>
        <w:tblLook w:firstRow="1" w:lastRow="0" w:firstColumn="0" w:lastColumn="0" w:noHBand="0" w:noVBand="0" w:val="0020"/>
        <w:jc w:val="start"/>
      </w:tblPr>
      <w:tblGrid>
        <w:gridCol w:w="990"/>
        <w:gridCol w:w="990"/>
        <w:gridCol w:w="1650"/>
        <w:gridCol w:w="1650"/>
        <w:gridCol w:w="1650"/>
        <w:gridCol w:w="990"/>
      </w:tblGrid>
      <w:tr>
        <w:trPr>
          <w:tblHeader w:val="true"/>
        </w:trPr>
        <w:tc>
          <w:tcPr/>
          <w:p>
            <w:pPr>
              <w:pStyle w:val="Compact"/>
              <w:jc w:val="left"/>
            </w:pPr>
            <w:r>
              <w:t xml:space="preserve">Trạng thái</w:t>
            </w:r>
          </w:p>
        </w:tc>
        <w:tc>
          <w:tcPr/>
          <w:p>
            <w:pPr>
              <w:pStyle w:val="Compact"/>
              <w:jc w:val="left"/>
            </w:pPr>
            <w:r>
              <w:t xml:space="preserve">Đại diện</w:t>
            </w:r>
          </w:p>
        </w:tc>
        <w:tc>
          <w:tcPr/>
          <w:p>
            <w:pPr>
              <w:pStyle w:val="Compact"/>
              <w:jc w:val="center"/>
            </w:pPr>
            <w:r>
              <w:t xml:space="preserve">ĐK 1 (thị trường)</w:t>
            </w:r>
          </w:p>
        </w:tc>
        <w:tc>
          <w:tcPr/>
          <w:p>
            <w:pPr>
              <w:pStyle w:val="Compact"/>
              <w:jc w:val="center"/>
            </w:pPr>
            <w:r>
              <w:t xml:space="preserve">ĐK 2 (chi phí TM)</w:t>
            </w:r>
          </w:p>
        </w:tc>
        <w:tc>
          <w:tcPr/>
          <w:p>
            <w:pPr>
              <w:pStyle w:val="Compact"/>
              <w:jc w:val="center"/>
            </w:pPr>
            <w:r>
              <w:t xml:space="preserve">ĐK 3 (thể chế)</w:t>
            </w:r>
          </w:p>
        </w:tc>
        <w:tc>
          <w:tcPr/>
          <w:p>
            <w:pPr>
              <w:pStyle w:val="Compact"/>
              <w:jc w:val="left"/>
            </w:pPr>
            <w:r>
              <w:t xml:space="preserve">Hành vi U-curve</w:t>
            </w:r>
          </w:p>
        </w:tc>
      </w:tr>
      <w:tr>
        <w:tc>
          <w:tcPr/>
          <w:p>
            <w:pPr>
              <w:pStyle w:val="Compact"/>
              <w:jc w:val="left"/>
            </w:pPr>
            <w:r>
              <w:rPr>
                <w:bCs/>
                <w:b/>
              </w:rPr>
              <w:t xml:space="preserve">A. Điểm tối ưu của U-curve</w:t>
            </w:r>
          </w:p>
        </w:tc>
        <w:tc>
          <w:tcPr/>
          <w:p>
            <w:pPr>
              <w:pStyle w:val="Compact"/>
              <w:jc w:val="left"/>
            </w:pPr>
            <w:r>
              <w:t xml:space="preserve">Singapore, Hong Kong, Hàn Quốc, Đài Loan</w:t>
            </w:r>
          </w:p>
        </w:tc>
        <w:tc>
          <w:tcPr/>
          <w:p>
            <w:pPr>
              <w:pStyle w:val="Compact"/>
              <w:jc w:val="center"/>
            </w:pPr>
            <w:r>
              <w:t xml:space="preserve">Có</w:t>
            </w:r>
          </w:p>
        </w:tc>
        <w:tc>
          <w:tcPr/>
          <w:p>
            <w:pPr>
              <w:pStyle w:val="Compact"/>
              <w:jc w:val="center"/>
            </w:pPr>
            <w:r>
              <w:t xml:space="preserve">Có</w:t>
            </w:r>
          </w:p>
        </w:tc>
        <w:tc>
          <w:tcPr/>
          <w:p>
            <w:pPr>
              <w:pStyle w:val="Compact"/>
              <w:jc w:val="center"/>
            </w:pPr>
            <w:r>
              <w:t xml:space="preserve">Có</w:t>
            </w:r>
          </w:p>
        </w:tc>
        <w:tc>
          <w:tcPr/>
          <w:p>
            <w:pPr>
              <w:pStyle w:val="Compact"/>
              <w:jc w:val="left"/>
            </w:pPr>
            <w:r>
              <w:t xml:space="preserve">U-curve vận hành chuẩn, FSTS có mức tối ưu cho hiệu quả tối đa</w:t>
            </w:r>
          </w:p>
        </w:tc>
      </w:tr>
      <w:tr>
        <w:tc>
          <w:tcPr/>
          <w:p>
            <w:pPr>
              <w:pStyle w:val="Compact"/>
              <w:jc w:val="left"/>
            </w:pPr>
            <w:r>
              <w:rPr>
                <w:bCs/>
                <w:b/>
              </w:rPr>
              <w:t xml:space="preserve">B. Bẫy chuyển hướng nguồn lực</w:t>
            </w:r>
          </w:p>
        </w:tc>
        <w:tc>
          <w:tcPr/>
          <w:p>
            <w:pPr>
              <w:pStyle w:val="Compact"/>
              <w:jc w:val="left"/>
            </w:pPr>
            <w:r>
              <w:t xml:space="preserve">Việt Nam, Indonesia, Trung Quốc, Mông Cổ</w:t>
            </w:r>
          </w:p>
        </w:tc>
        <w:tc>
          <w:tcPr/>
          <w:p>
            <w:pPr>
              <w:pStyle w:val="Compact"/>
              <w:jc w:val="center"/>
            </w:pPr>
            <w:r>
              <w:t xml:space="preserve">Có</w:t>
            </w:r>
          </w:p>
        </w:tc>
        <w:tc>
          <w:tcPr/>
          <w:p>
            <w:pPr>
              <w:pStyle w:val="Compact"/>
              <w:jc w:val="center"/>
            </w:pPr>
            <w:r>
              <w:t xml:space="preserve">Có</w:t>
            </w:r>
          </w:p>
        </w:tc>
        <w:tc>
          <w:tcPr/>
          <w:p>
            <w:pPr>
              <w:pStyle w:val="Compact"/>
              <w:jc w:val="center"/>
            </w:pPr>
            <w:r>
              <w:t xml:space="preserve">Một phần</w:t>
            </w:r>
            <w:r>
              <w:t xml:space="preserve"> </w:t>
            </w:r>
            <w:r>
              <w:rPr>
                <w:iCs/>
                <w:i/>
              </w:rPr>
              <w:t xml:space="preserve">(gap de jure-de facto)</w:t>
            </w:r>
          </w:p>
        </w:tc>
        <w:tc>
          <w:tcPr/>
          <w:p>
            <w:pPr>
              <w:pStyle w:val="Compact"/>
              <w:jc w:val="left"/>
            </w:pPr>
            <w:r>
              <w:t xml:space="preserve">U-curve vận hành nhưng có bẫy chuyển hướng nguồn lực, cần phân biệt quy tắc hình thức và năng lực thực thi</w:t>
            </w:r>
          </w:p>
        </w:tc>
      </w:tr>
      <w:tr>
        <w:tc>
          <w:tcPr/>
          <w:p>
            <w:pPr>
              <w:pStyle w:val="Compact"/>
              <w:jc w:val="left"/>
            </w:pPr>
            <w:r>
              <w:rPr>
                <w:bCs/>
                <w:b/>
              </w:rPr>
              <w:t xml:space="preserve">C. Sụp đổ đường cong</w:t>
            </w:r>
          </w:p>
        </w:tc>
        <w:tc>
          <w:tcPr/>
          <w:p>
            <w:pPr>
              <w:pStyle w:val="Compact"/>
              <w:jc w:val="left"/>
            </w:pPr>
            <w:r>
              <w:t xml:space="preserve">SIDS Pacific (Fiji, Kiribati, Tonga)</w:t>
            </w:r>
          </w:p>
        </w:tc>
        <w:tc>
          <w:tcPr/>
          <w:p>
            <w:pPr>
              <w:pStyle w:val="Compact"/>
              <w:jc w:val="center"/>
            </w:pPr>
            <w:r>
              <w:t xml:space="preserve">Không</w:t>
            </w:r>
          </w:p>
        </w:tc>
        <w:tc>
          <w:tcPr/>
          <w:p>
            <w:pPr>
              <w:pStyle w:val="Compact"/>
              <w:jc w:val="center"/>
            </w:pPr>
            <w:r>
              <w:t xml:space="preserve">Không</w:t>
            </w:r>
          </w:p>
        </w:tc>
        <w:tc>
          <w:tcPr/>
          <w:p>
            <w:pPr>
              <w:pStyle w:val="Compact"/>
              <w:jc w:val="center"/>
            </w:pPr>
            <w:r>
              <w:t xml:space="preserve">Một phần/Không</w:t>
            </w:r>
          </w:p>
        </w:tc>
        <w:tc>
          <w:tcPr/>
          <w:p>
            <w:pPr>
              <w:pStyle w:val="Compact"/>
              <w:jc w:val="left"/>
            </w:pPr>
            <w:r>
              <w:t xml:space="preserve">U-curve không vận hành, quốc tế hóa là buộc phải; Fiji website 74,8% &gt; Singapore 66% là minh chứng</w:t>
            </w:r>
          </w:p>
        </w:tc>
      </w:tr>
    </w:tbl>
    <w:bookmarkEnd w:id="38"/>
    <w:bookmarkStart w:id="39" w:name="X095aaec1a623b630743abb29fda2315c3c0a6ca"/>
    <w:p>
      <w:pPr>
        <w:pStyle w:val="Heading4"/>
      </w:pPr>
      <w:r>
        <w:t xml:space="preserve">2.3.1.6 Khung 4 Tầng chuyển đổi số và Mô hình CDCM</w:t>
      </w:r>
    </w:p>
    <w:p>
      <w:pPr>
        <w:pStyle w:val="FirstParagraph"/>
      </w:pPr>
      <w:r>
        <w:rPr>
          <w:bCs/>
          <w:b/>
        </w:rPr>
        <w:t xml:space="preserve">Bốn tầng bậc số hóa theo Verhoef et al. (2021)</w:t>
      </w:r>
      <w:r>
        <w:t xml:space="preserv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Tầng</w:t>
            </w:r>
          </w:p>
        </w:tc>
        <w:tc>
          <w:tcPr/>
          <w:p>
            <w:pPr>
              <w:pStyle w:val="Compact"/>
              <w:jc w:val="left"/>
            </w:pPr>
            <w:r>
              <w:t xml:space="preserve">Tên (Tiếng Việt)</w:t>
            </w:r>
          </w:p>
        </w:tc>
        <w:tc>
          <w:tcPr/>
          <w:p>
            <w:pPr>
              <w:pStyle w:val="Compact"/>
              <w:jc w:val="left"/>
            </w:pPr>
            <w:r>
              <w:t xml:space="preserve">Đo lường WBES</w:t>
            </w:r>
          </w:p>
        </w:tc>
        <w:tc>
          <w:tcPr/>
          <w:p>
            <w:pPr>
              <w:pStyle w:val="Compact"/>
              <w:jc w:val="left"/>
            </w:pPr>
            <w:r>
              <w:t xml:space="preserve">Quan sát được?</w:t>
            </w:r>
          </w:p>
        </w:tc>
      </w:tr>
      <w:tr>
        <w:tc>
          <w:tcPr/>
          <w:p>
            <w:pPr>
              <w:pStyle w:val="Compact"/>
              <w:jc w:val="left"/>
            </w:pPr>
            <w:r>
              <w:rPr>
                <w:bCs/>
                <w:b/>
              </w:rPr>
              <w:t xml:space="preserve">Tier 1</w:t>
            </w:r>
          </w:p>
        </w:tc>
        <w:tc>
          <w:tcPr/>
          <w:p>
            <w:pPr>
              <w:pStyle w:val="Compact"/>
              <w:jc w:val="left"/>
            </w:pPr>
            <w:r>
              <w:t xml:space="preserve">Sự hiện diện số cơ bản</w:t>
            </w:r>
          </w:p>
        </w:tc>
        <w:tc>
          <w:tcPr/>
          <w:p>
            <w:pPr>
              <w:pStyle w:val="Compact"/>
              <w:jc w:val="left"/>
            </w:pPr>
            <w:r>
              <w:t xml:space="preserve">website nhị phân, email</w:t>
            </w:r>
          </w:p>
        </w:tc>
        <w:tc>
          <w:tcPr/>
          <w:p>
            <w:pPr>
              <w:pStyle w:val="Compact"/>
              <w:jc w:val="left"/>
            </w:pPr>
            <w:r>
              <w:t xml:space="preserve">Có (toàn pool 2009-2025)</w:t>
            </w:r>
          </w:p>
        </w:tc>
      </w:tr>
      <w:tr>
        <w:tc>
          <w:tcPr/>
          <w:p>
            <w:pPr>
              <w:pStyle w:val="Compact"/>
              <w:jc w:val="left"/>
            </w:pPr>
            <w:r>
              <w:rPr>
                <w:bCs/>
                <w:b/>
              </w:rPr>
              <w:t xml:space="preserve">Tier 2</w:t>
            </w:r>
          </w:p>
        </w:tc>
        <w:tc>
          <w:tcPr/>
          <w:p>
            <w:pPr>
              <w:pStyle w:val="Compact"/>
              <w:jc w:val="left"/>
            </w:pPr>
            <w:r>
              <w:t xml:space="preserve">Giao tiếp số và thương mại cơ bản</w:t>
            </w:r>
          </w:p>
        </w:tc>
        <w:tc>
          <w:tcPr/>
          <w:p>
            <w:pPr>
              <w:pStyle w:val="Compact"/>
              <w:jc w:val="left"/>
            </w:pPr>
            <w:r>
              <w:t xml:space="preserve">thanh toán điện tử (k33, k38)</w:t>
            </w:r>
          </w:p>
        </w:tc>
        <w:tc>
          <w:tcPr/>
          <w:p>
            <w:pPr>
              <w:pStyle w:val="Compact"/>
              <w:jc w:val="left"/>
            </w:pPr>
            <w:r>
              <w:t xml:space="preserve">Có một phần (BREADY 2018+)</w:t>
            </w:r>
          </w:p>
        </w:tc>
      </w:tr>
      <w:tr>
        <w:tc>
          <w:tcPr/>
          <w:p>
            <w:pPr>
              <w:pStyle w:val="Compact"/>
              <w:jc w:val="left"/>
            </w:pPr>
            <w:r>
              <w:rPr>
                <w:bCs/>
                <w:b/>
              </w:rPr>
              <w:t xml:space="preserve">Tier 3</w:t>
            </w:r>
          </w:p>
        </w:tc>
        <w:tc>
          <w:tcPr/>
          <w:p>
            <w:pPr>
              <w:pStyle w:val="Compact"/>
              <w:jc w:val="left"/>
            </w:pPr>
            <w:r>
              <w:t xml:space="preserve">Tích hợp quy trình số</w:t>
            </w:r>
          </w:p>
        </w:tc>
        <w:tc>
          <w:tcPr/>
          <w:p>
            <w:pPr>
              <w:pStyle w:val="Compact"/>
              <w:jc w:val="left"/>
            </w:pPr>
            <w:r>
              <w:t xml:space="preserve">ERP, CRM</w:t>
            </w:r>
          </w:p>
        </w:tc>
        <w:tc>
          <w:tcPr/>
          <w:p>
            <w:pPr>
              <w:pStyle w:val="Compact"/>
              <w:jc w:val="left"/>
            </w:pPr>
            <w:r>
              <w:t xml:space="preserve">Không quan sát được</w:t>
            </w:r>
          </w:p>
        </w:tc>
      </w:tr>
      <w:tr>
        <w:tc>
          <w:tcPr/>
          <w:p>
            <w:pPr>
              <w:pStyle w:val="Compact"/>
              <w:jc w:val="left"/>
            </w:pPr>
            <w:r>
              <w:rPr>
                <w:bCs/>
                <w:b/>
              </w:rPr>
              <w:t xml:space="preserve">Tier 4</w:t>
            </w:r>
          </w:p>
        </w:tc>
        <w:tc>
          <w:tcPr/>
          <w:p>
            <w:pPr>
              <w:pStyle w:val="Compact"/>
              <w:jc w:val="left"/>
            </w:pPr>
            <w:r>
              <w:t xml:space="preserve">Năng lực số động</w:t>
            </w:r>
          </w:p>
        </w:tc>
        <w:tc>
          <w:tcPr/>
          <w:p>
            <w:pPr>
              <w:pStyle w:val="Compact"/>
              <w:jc w:val="left"/>
            </w:pPr>
            <w:r>
              <w:t xml:space="preserve">AI, platform</w:t>
            </w:r>
          </w:p>
        </w:tc>
        <w:tc>
          <w:tcPr/>
          <w:p>
            <w:pPr>
              <w:pStyle w:val="Compact"/>
              <w:jc w:val="left"/>
            </w:pPr>
            <w:r>
              <w:t xml:space="preserve">Không quan sát được</w:t>
            </w:r>
          </w:p>
        </w:tc>
      </w:tr>
    </w:tbl>
    <w:p>
      <w:pPr>
        <w:pStyle w:val="BodyText"/>
      </w:pPr>
      <w:r>
        <w:rPr>
          <w:bCs/>
          <w:b/>
        </w:rPr>
        <w:t xml:space="preserve">Tuyên bố ranh giới đo lường</w:t>
      </w:r>
      <w:r>
        <w:t xml:space="preserve">: Pool 101.185 doanh nghiệp WBES quan sát Tier 1-2, không Tier 3-4. Mọi lập luận về</w:t>
      </w:r>
      <w:r>
        <w:t xml:space="preserve"> </w:t>
      </w:r>
      <w:r>
        <w:t xml:space="preserve">“</w:t>
      </w:r>
      <w:r>
        <w:t xml:space="preserve">năng lực số</w:t>
      </w:r>
      <w:r>
        <w:t xml:space="preserve">”</w:t>
      </w:r>
      <w:r>
        <w:t xml:space="preserve"> </w:t>
      </w:r>
      <w:r>
        <w:t xml:space="preserve">phải hạn chế ở phạm vi</w:t>
      </w:r>
      <w:r>
        <w:t xml:space="preserve"> </w:t>
      </w:r>
      <w:r>
        <w:rPr>
          <w:bCs/>
          <w:b/>
        </w:rPr>
        <w:t xml:space="preserve">Áp dụng số nền tảng (Foundational Digital Adoption, FDA)</w:t>
      </w:r>
      <w:r>
        <w:t xml:space="preserve">.</w:t>
      </w:r>
    </w:p>
    <w:p>
      <w:pPr>
        <w:pStyle w:val="BodyText"/>
      </w:pPr>
      <w:r>
        <w:rPr>
          <w:bCs/>
          <w:b/>
        </w:rPr>
        <w:t xml:space="preserve">Mô hình Năng lực số phụ thuộc bối cảnh (CDCM)</w:t>
      </w:r>
      <w:r>
        <w:t xml:space="preserve">, hợp nhất bằng chứng Singapore và Việt Nam:</w:t>
      </w:r>
    </w:p>
    <w:p>
      <w:pPr>
        <w:pStyle w:val="BodyText"/>
      </w:pPr>
      <w:r>
        <w:rPr>
          <w:bCs/>
          <w:b/>
        </w:rPr>
        <w:t xml:space="preserve">(a) Hình dạng đường cong quốc tế hóa - hiệu quả</w:t>
      </w:r>
      <w:r>
        <w:t xml:space="preserve">: Việt Nam có dạng U ngược, điểm uốn</w:t>
      </w:r>
      <w:r>
        <w:t xml:space="preserve"> </w:t>
      </w:r>
      <m:oMath>
        <m:r>
          <m:rPr>
            <m:sty m:val="p"/>
          </m:rPr>
          <m:t>≈</m:t>
        </m:r>
      </m:oMath>
      <w:r>
        <w:t xml:space="preserve"> </w:t>
      </w:r>
      <w:r>
        <w:t xml:space="preserve">39-46% FSTS; Singapore có dạng tuyến tính dương + bậc hai nhẹ, điểm uốn</w:t>
      </w:r>
      <w:r>
        <w:t xml:space="preserve"> </w:t>
      </w:r>
      <m:oMath>
        <m:r>
          <m:rPr>
            <m:sty m:val="p"/>
          </m:rPr>
          <m:t>≈</m:t>
        </m:r>
      </m:oMath>
      <w:r>
        <w:t xml:space="preserve"> </w:t>
      </w:r>
      <w:r>
        <w:t xml:space="preserve">82% FSTS.</w:t>
      </w:r>
    </w:p>
    <w:p>
      <w:pPr>
        <w:pStyle w:val="BodyText"/>
      </w:pPr>
      <w:r>
        <w:rPr>
          <w:bCs/>
          <w:b/>
        </w:rPr>
        <w:t xml:space="preserve">(b) Cơ chế DAI</w:t>
      </w:r>
      <w:r>
        <w:t xml:space="preserve">: Việt Nam (Tier 1 = website only) cho thấy</w:t>
      </w:r>
      <w:r>
        <w:t xml:space="preserve"> </w:t>
      </w:r>
      <w:r>
        <w:rPr>
          <w:bCs/>
          <w:b/>
        </w:rPr>
        <w:t xml:space="preserve">phụ thuộc giai đoạn</w:t>
      </w:r>
      <w:r>
        <w:t xml:space="preserve">: tương tác DAI×FSTS âm ở FSTS cao, Tier 1 trở thành điểm nghẽn. Singapore (Tier 1+2) cho thấy</w:t>
      </w:r>
      <w:r>
        <w:t xml:space="preserve"> </w:t>
      </w:r>
      <w:r>
        <w:rPr>
          <w:bCs/>
          <w:b/>
        </w:rPr>
        <w:t xml:space="preserve">mở rộng có điều kiện</w:t>
      </w:r>
      <w:r>
        <w:t xml:space="preserve">: tương tác DAI×</w:t>
      </w:r>
      <m:oMath>
        <m:sSup>
          <m:e>
            <m:r>
              <m:rPr>
                <m:nor/>
                <m:sty m:val="p"/>
              </m:rPr>
              <m:t>FSTS</m:t>
            </m:r>
          </m:e>
          <m:sup>
            <m:r>
              <m:t>2</m:t>
            </m:r>
          </m:sup>
        </m:sSup>
      </m:oMath>
      <w:r>
        <w:t xml:space="preserve"> </w:t>
      </w:r>
      <w:r>
        <w:t xml:space="preserve">dương mạnh (β = 3,119, p = 0,005), Tier 1+2 là đòn bẩy.</w:t>
      </w:r>
    </w:p>
    <w:p>
      <w:pPr>
        <w:pStyle w:val="BodyText"/>
      </w:pPr>
      <w:r>
        <w:rPr>
          <w:bCs/>
          <w:b/>
        </w:rPr>
        <w:t xml:space="preserve">(c) Vai trò TCI</w:t>
      </w:r>
      <w:r>
        <w:t xml:space="preserve">: Việt Nam,</w:t>
      </w:r>
      <w:r>
        <w:t xml:space="preserve"> </w:t>
      </w:r>
      <w:r>
        <w:rPr>
          <w:iCs/>
          <w:i/>
        </w:rPr>
        <w:t xml:space="preserve">lợi thế khan hiếm</w:t>
      </w:r>
      <w:r>
        <w:t xml:space="preserve"> </w:t>
      </w:r>
      <w:r>
        <w:t xml:space="preserve">(TCI z biến công cụ β = 1,639, p &lt; 0,001, ước lượng 2SLS vững). Singapore,</w:t>
      </w:r>
      <w:r>
        <w:t xml:space="preserve"> </w:t>
      </w:r>
      <w:r>
        <w:rPr>
          <w:iCs/>
          <w:i/>
        </w:rPr>
        <w:t xml:space="preserve">yếu tố vệ sinh</w:t>
      </w:r>
      <w:r>
        <w:t xml:space="preserve"> </w:t>
      </w:r>
      <w:r>
        <w:t xml:space="preserve">nâng sàn năng suất nhưng không điều tiết đường cong quốc tế hóa - hiệu quả.</w:t>
      </w:r>
    </w:p>
    <w:tbl>
      <w:tblPr>
        <w:tblStyle w:val="Table"/>
        <w:tblW w:type="pct" w:w="278"/>
        <w:tblLook w:firstRow="0" w:lastRow="0" w:firstColumn="0" w:lastColumn="0" w:noHBand="0" w:noVBand="0" w:val="0000"/>
        <w:jc w:val="start"/>
      </w:tblPr>
      <w:tblGrid>
        <w:gridCol w:w="440"/>
      </w:tblGrid>
      <w:tr>
        <w:tc>
          <w:tcPr/>
          <w:p>
            <w:pPr>
              <w:pStyle w:val="Compact"/>
              <w:jc w:val="left"/>
            </w:pPr>
            <w:r>
              <w:t xml:space="preserve">### 2.3.2 Khung phân loại thể chế ICRV</w:t>
            </w:r>
          </w:p>
        </w:tc>
      </w:tr>
      <w:tr>
        <w:tc>
          <w:tcPr/>
          <w:p>
            <w:pPr>
              <w:pStyle w:val="Compact"/>
              <w:jc w:val="left"/>
            </w:pPr>
            <w:r>
              <w:t xml:space="preserve">#### 2.3.2.1 Lý do phân loại</w:t>
            </w:r>
          </w:p>
        </w:tc>
      </w:tr>
      <w:tr>
        <w:tc>
          <w:tcPr/>
          <w:p>
            <w:pPr>
              <w:pStyle w:val="Compact"/>
              <w:jc w:val="left"/>
            </w:pPr>
            <w:r>
              <w:t xml:space="preserve">Châu Á không phải là một khối đồng nhất về thể chế. Các meta-analysis (Marano et al., 2016; Wu et al., 2022) đã ghi nhận rằng bối cảnh thể chế là biến điều tiết quan trọng nhất trong quan hệ quốc tế hóa - hiệu quả, nhưng không có nghiên cứu nào thiết lập hệ thống phân loại thể chế toàn diện cho 47 nền kinh tế châu Á. Khung phân loại ICRV (Institutional Context Regime Variation, Biến thiên chế độ thể chế) được đề xuất trong chuyên đề này nhằm lấp khoảng trống đó, dựa trên bốn nguyên tắc:</w:t>
            </w:r>
          </w:p>
        </w:tc>
      </w:tr>
      <w:tr>
        <w:tc>
          <w:tcPr/>
          <w:p>
            <w:pPr>
              <w:pStyle w:val="Compact"/>
              <w:jc w:val="left"/>
            </w:pPr>
            <w:r>
              <w:t xml:space="preserve">(a)</w:t>
            </w:r>
            <w:r>
              <w:t xml:space="preserve"> </w:t>
            </w:r>
            <w:r>
              <w:rPr>
                <w:bCs/>
                <w:b/>
              </w:rPr>
              <w:t xml:space="preserve">Tính phân biệt</w:t>
            </w:r>
            <w:r>
              <w:t xml:space="preserve">: mỗi nhóm phải có mô hình hiệu quả doanh nghiệp khác biệt thực sự, không chỉ khác nhau về mức GDP bình quân đầu người;</w:t>
            </w:r>
          </w:p>
        </w:tc>
      </w:tr>
      <w:tr>
        <w:tc>
          <w:tcPr/>
          <w:p>
            <w:pPr>
              <w:pStyle w:val="Compact"/>
              <w:jc w:val="left"/>
            </w:pPr>
            <w:r>
              <w:t xml:space="preserve">(b)</w:t>
            </w:r>
            <w:r>
              <w:t xml:space="preserve"> </w:t>
            </w:r>
            <w:r>
              <w:rPr>
                <w:bCs/>
                <w:b/>
              </w:rPr>
              <w:t xml:space="preserve">Tính đại diện lý thuyết</w:t>
            </w:r>
            <w:r>
              <w:t xml:space="preserve">: phân loại phải phản ánh được các cơ chế thể chế khác nhau, thể chế đổi mới sáng tạo, thể chế tài nguyên, thể chế chuyển đổi, thể chế MIRAB, theo Varieties of Capitalism (Hall &amp; Soskice, 2001) và Lý thuyết thể chế (North, 1990);</w:t>
            </w:r>
          </w:p>
        </w:tc>
      </w:tr>
      <w:tr>
        <w:tc>
          <w:tcPr/>
          <w:p>
            <w:pPr>
              <w:pStyle w:val="Compact"/>
              <w:jc w:val="left"/>
            </w:pPr>
            <w:r>
              <w:t xml:space="preserve">(c)</w:t>
            </w:r>
            <w:r>
              <w:t xml:space="preserve"> </w:t>
            </w:r>
            <w:r>
              <w:rPr>
                <w:bCs/>
                <w:b/>
              </w:rPr>
              <w:t xml:space="preserve">Tính khả dụng dữ liệu</w:t>
            </w:r>
            <w:r>
              <w:t xml:space="preserve">: mỗi nhóm phải có đủ quan sát WBES để phân tích có ý nghĩa thống kê (tối thiểu 500 doanh nghiệp);</w:t>
            </w:r>
          </w:p>
        </w:tc>
      </w:tr>
      <w:tr>
        <w:tc>
          <w:tcPr/>
          <w:p>
            <w:pPr>
              <w:pStyle w:val="Compact"/>
              <w:jc w:val="left"/>
            </w:pPr>
            <w:r>
              <w:t xml:space="preserve">(d)</w:t>
            </w:r>
            <w:r>
              <w:t xml:space="preserve"> </w:t>
            </w:r>
            <w:r>
              <w:rPr>
                <w:bCs/>
                <w:b/>
              </w:rPr>
              <w:t xml:space="preserve">Tính minh bạch và tái tạo</w:t>
            </w:r>
            <w:r>
              <w:t xml:space="preserve">: tiêu chí phân loại phải rõ ràng và có thể áp dụng nhất quán.</w:t>
            </w:r>
          </w:p>
        </w:tc>
      </w:tr>
      <w:tr>
        <w:tc>
          <w:tcPr/>
          <w:p>
            <w:pPr>
              <w:pStyle w:val="Compact"/>
              <w:jc w:val="left"/>
            </w:pPr>
            <w:r>
              <w:t xml:space="preserve">#### 2.3.2.2 Tiêu chí phân loại sáu nhóm</w:t>
            </w:r>
          </w:p>
        </w:tc>
      </w:tr>
      <w:tr>
        <w:tc>
          <w:tcPr/>
          <w:p>
            <w:pPr>
              <w:pStyle w:val="Compact"/>
              <w:jc w:val="left"/>
            </w:pPr>
            <w:r>
              <w:rPr>
                <w:bCs/>
                <w:b/>
              </w:rPr>
              <w:t xml:space="preserve">Nhóm I, Advanced đổi mới sáng tạo dẫn dắt</w:t>
            </w:r>
            <w:r>
              <w:t xml:space="preserve">: WGI Rule of Law &gt;+0,80; GNI bình quân đầu người &gt;30.000 USD (phương pháp Atlas WB); GDP tăng trưởng dựa trên đổi mới công nghệ, dịch vụ tài chính và hàm lượng tri thức cao. Bằng chứng WBES: R&amp;D &gt;10%, ISO &gt;20%, độ lệch chuẩn log năng suất ~1,03 (đa dạng hóa).</w:t>
            </w:r>
          </w:p>
        </w:tc>
      </w:tr>
      <w:tr>
        <w:tc>
          <w:tcPr/>
          <w:p>
            <w:pPr>
              <w:pStyle w:val="Compact"/>
              <w:jc w:val="left"/>
            </w:pPr>
            <w:r>
              <w:rPr>
                <w:bCs/>
                <w:b/>
              </w:rPr>
              <w:t xml:space="preserve">Nhóm II, Advanced tài nguyên dẫn dắt</w:t>
            </w:r>
            <w:r>
              <w:t xml:space="preserve">: WGI Rule of Law trung bình (+0,00 đến +0,50); GNI bình quân đầu người &gt;20.000 USD; GDP tăng trưởng dựa trên xuất khẩu tài nguyên thiên nhiên (dầu mỏ, khí đốt, khoáng sản). Bằng chứng WBES: FDI cao hướng khai thác tài nguyên, độ lệch chuẩn log năng suất thấp (~0,49, đặc trưng nhà nước tô).</w:t>
            </w:r>
          </w:p>
        </w:tc>
      </w:tr>
      <w:tr>
        <w:tc>
          <w:tcPr/>
          <w:p>
            <w:pPr>
              <w:pStyle w:val="Compact"/>
              <w:jc w:val="left"/>
            </w:pPr>
            <w:r>
              <w:rPr>
                <w:bCs/>
                <w:b/>
              </w:rPr>
              <w:t xml:space="preserve">Nhóm III, Trung bình cao (Upper-middle)</w:t>
            </w:r>
            <w:r>
              <w:t xml:space="preserve">: WGI Rule of Law 0,00 đến +0,80; GNI bình quân đầu người 5.000-20.000 USD; nền kinh tế chuyển đổi từ sản xuất sang dịch vụ, với R&amp;D đang tăng (đặc biệt Trung Quốc). Pattern WBES: FSTS sản xuất cao, R&amp;D tăng mạnh giai đoạn 2018-2025 (+21,5 điểm phần trăm).</w:t>
            </w:r>
          </w:p>
        </w:tc>
      </w:tr>
      <w:tr>
        <w:tc>
          <w:tcPr/>
          <w:p>
            <w:pPr>
              <w:pStyle w:val="Compact"/>
              <w:jc w:val="left"/>
            </w:pPr>
            <w:r>
              <w:rPr>
                <w:bCs/>
                <w:b/>
              </w:rPr>
              <w:t xml:space="preserve">Nhóm IV, Đang nổi (Emerging)</w:t>
            </w:r>
            <w:r>
              <w:t xml:space="preserve">: WGI Rule of Law -0,50 đến 0,00; GNI bình quân đầu người 1.000-5.000 USD; tốc độ tăng trưởng cao nhưng gap de jure-de facto lớn (Xu, 2024); sản xuất FDI-driven dẫn dắt xuất khẩu. Pattern WBES: FSTS phân cực cao/thấp trong nội bộ nhóm; FDI thấp nhất (4,7%) do doanh nghiệp nội địa chi phối mẫu.</w:t>
            </w:r>
          </w:p>
        </w:tc>
      </w:tr>
      <w:tr>
        <w:tc>
          <w:tcPr/>
          <w:p>
            <w:pPr>
              <w:pStyle w:val="Compact"/>
              <w:jc w:val="left"/>
            </w:pPr>
            <w:r>
              <w:rPr>
                <w:bCs/>
                <w:b/>
              </w:rPr>
              <w:t xml:space="preserve">Nhóm V, Cận biên (Frontier)</w:t>
            </w:r>
            <w:r>
              <w:t xml:space="preserve">: WGI Rule of Law &lt; -0,50; GNI bình quân đầu người &lt;1.000 hoặc &lt;3.000 USD với voids thể chế lớn; nhiều nước đang qua giai đoạn xung đột hoặc chuyển đổi sau xung đột. Pattern WBES: phân tán năng suất cao nhất (độ lệch chuẩn log 1,36), R&amp;D thấp nhất, nhưng đổi mới sản phẩm cao (đổi mới bằng nguồn lực hạn chế).</w:t>
            </w:r>
          </w:p>
        </w:tc>
      </w:tr>
      <w:tr>
        <w:tc>
          <w:tcPr/>
          <w:p>
            <w:pPr>
              <w:pStyle w:val="Compact"/>
              <w:jc w:val="left"/>
            </w:pPr>
            <w:r>
              <w:rPr>
                <w:bCs/>
                <w:b/>
              </w:rPr>
              <w:t xml:space="preserve">Nhóm VI, SIDS Thái Bình Dương (Trường hợp biên mở rộng)</w:t>
            </w:r>
            <w:r>
              <w:t xml:space="preserve">: Dân số &lt;1 triệu; cô lập địa lý &gt;2.000 km từ hub thương mại; phụ thuộc ODA + remittances &gt; 20% GDP; mô hình MIRAB (Bertram, 2006). Pattern WBES: n=1.371 (1,4% pool); FDI cao nhất (23,5%, do MNE du lịch); đổi mới sản phẩm cao nhất (41,5%, đổi mới bằng nguồn lực hạn chế); website cao ngoại trừ Kiribati (18,7%).</w:t>
            </w:r>
          </w:p>
        </w:tc>
      </w:tr>
      <w:tr>
        <w:tc>
          <w:tcPr/>
          <w:p>
            <w:pPr>
              <w:pStyle w:val="Compact"/>
              <w:jc w:val="left"/>
            </w:pPr>
            <w:r>
              <w:t xml:space="preserve">#### 2.3.2.3 Danh sách 47 nền kinh tế theo nhóm ICRV</w:t>
            </w:r>
          </w:p>
        </w:tc>
      </w:tr>
      <w:tr>
        <w:tc>
          <w:tcPr/>
          <w:p>
            <w:pPr>
              <w:pStyle w:val="Compact"/>
              <w:jc w:val="left"/>
            </w:pPr>
            <w:r>
              <w:rPr>
                <w:bCs/>
                <w:b/>
              </w:rPr>
              <w:t xml:space="preserve">Bảng 2.3.2.1</w:t>
            </w:r>
            <w:r>
              <w:t xml:space="preserve">.</w:t>
            </w:r>
            <w:r>
              <w:t xml:space="preserve"> </w:t>
            </w:r>
            <w:r>
              <w:rPr>
                <w:iCs/>
                <w:i/>
              </w:rPr>
              <w:t xml:space="preserve">Phân loại 47 nền kinh tế vào 6 nhóm ICRV, tiêu chí và số doanh nghiệp.</w:t>
            </w:r>
          </w:p>
        </w:tc>
      </w:tr>
      <w:tr>
        <w:tc>
          <w:tcPr/>
          <w:p>
            <w:pPr>
              <w:pStyle w:val="Compact"/>
              <w:jc w:val="left"/>
            </w:pPr>
            <w:r>
              <w:t xml:space="preserve">| Nhóm ICRV | Tên nhóm | Quốc gia | n_firms (ước tính) |</w:t>
            </w:r>
            <w:r>
              <w:t xml:space="preserve"> </w:t>
            </w:r>
            <w:r>
              <w:t xml:space="preserve">|—|—|—|—|</w:t>
            </w:r>
            <w:r>
              <w:t xml:space="preserve"> </w:t>
            </w:r>
            <w:r>
              <w:t xml:space="preserve">|</w:t>
            </w:r>
            <w:r>
              <w:t xml:space="preserve"> </w:t>
            </w:r>
            <w:r>
              <w:rPr>
                <w:bCs/>
                <w:b/>
              </w:rPr>
              <w:t xml:space="preserve">I</w:t>
            </w:r>
            <w:r>
              <w:t xml:space="preserve"> </w:t>
            </w:r>
            <w:r>
              <w:t xml:space="preserve">| Advanced, innovation-driven | Singapore, Hong Kong SAR, Hàn Quốc, Đài Loan, Israel | ~4.220 |</w:t>
            </w:r>
            <w:r>
              <w:t xml:space="preserve"> </w:t>
            </w:r>
            <w:r>
              <w:t xml:space="preserve">|</w:t>
            </w:r>
            <w:r>
              <w:t xml:space="preserve"> </w:t>
            </w:r>
            <w:r>
              <w:rPr>
                <w:bCs/>
                <w:b/>
              </w:rPr>
              <w:t xml:space="preserve">II</w:t>
            </w:r>
            <w:r>
              <w:t xml:space="preserve"> </w:t>
            </w:r>
            <w:r>
              <w:t xml:space="preserve">| Advanced, resource-driven | Saudi Arabia, Qatar, Kuwait, Bahrain, Brunei | ~1.932 |</w:t>
            </w:r>
            <w:r>
              <w:t xml:space="preserve"> </w:t>
            </w:r>
            <w:r>
              <w:t xml:space="preserve">|</w:t>
            </w:r>
            <w:r>
              <w:t xml:space="preserve"> </w:t>
            </w:r>
            <w:r>
              <w:rPr>
                <w:bCs/>
                <w:b/>
              </w:rPr>
              <w:t xml:space="preserve">III</w:t>
            </w:r>
            <w:r>
              <w:t xml:space="preserve"> </w:t>
            </w:r>
            <w:r>
              <w:t xml:space="preserve">| Upper-middle | Trung Quốc, Malaysia, Thái Lan, Kazakhstan, Armenia, Georgia | ~16.693 |</w:t>
            </w:r>
            <w:r>
              <w:t xml:space="preserve"> </w:t>
            </w:r>
            <w:r>
              <w:t xml:space="preserve">|</w:t>
            </w:r>
            <w:r>
              <w:t xml:space="preserve"> </w:t>
            </w:r>
            <w:r>
              <w:rPr>
                <w:bCs/>
                <w:b/>
              </w:rPr>
              <w:t xml:space="preserve">IV</w:t>
            </w:r>
            <w:r>
              <w:t xml:space="preserve"> </w:t>
            </w:r>
            <w:r>
              <w:t xml:space="preserve">| Emerging | Việt Nam, Indonesia, Philippines, Ấn Độ, Sri Lanka, Jordan, Mông Cổ | ~47.803 |</w:t>
            </w:r>
            <w:r>
              <w:t xml:space="preserve"> </w:t>
            </w:r>
            <w:r>
              <w:t xml:space="preserve">|</w:t>
            </w:r>
            <w:r>
              <w:t xml:space="preserve"> </w:t>
            </w:r>
            <w:r>
              <w:rPr>
                <w:bCs/>
                <w:b/>
              </w:rPr>
              <w:t xml:space="preserve">V</w:t>
            </w:r>
            <w:r>
              <w:t xml:space="preserve"> </w:t>
            </w:r>
            <w:r>
              <w:t xml:space="preserve">| Frontier | Bangladesh, Pakistan, Lào, Campuchia, Myanmar, Nepal, Bhutan, Maldives, Uzbekistan, Tajikistan, Kyrgyz Republic, Turkmenistan, Afghanistan, Timor-Leste, Iraq, Lebanon, Yemen | ~28.678 |</w:t>
            </w:r>
            <w:r>
              <w:t xml:space="preserve"> </w:t>
            </w:r>
            <w:r>
              <w:t xml:space="preserve">|</w:t>
            </w:r>
            <w:r>
              <w:t xml:space="preserve"> </w:t>
            </w:r>
            <w:r>
              <w:rPr>
                <w:bCs/>
                <w:b/>
              </w:rPr>
              <w:t xml:space="preserve">VI</w:t>
            </w:r>
            <w:r>
              <w:t xml:space="preserve"> </w:t>
            </w:r>
            <w:r>
              <w:t xml:space="preserve">| SIDS Pacific (boundary) | Fiji, Papua New Guinea, Solomon Islands, Tonga, Vanuatu, Samoa, Kiribati | ~1.371 |</w:t>
            </w:r>
            <w:r>
              <w:t xml:space="preserve"> </w:t>
            </w:r>
            <w:r>
              <w:t xml:space="preserve">|</w:t>
            </w:r>
            <w:r>
              <w:t xml:space="preserve"> </w:t>
            </w:r>
            <w:r>
              <w:rPr>
                <w:bCs/>
                <w:b/>
              </w:rPr>
              <w:t xml:space="preserve">Tổng</w:t>
            </w:r>
            <w:r>
              <w:t xml:space="preserve"> </w:t>
            </w:r>
            <w:r>
              <w:t xml:space="preserve">| | 47 nền kinh tế |</w:t>
            </w:r>
            <w:r>
              <w:t xml:space="preserve"> </w:t>
            </w:r>
            <w:r>
              <w:rPr>
                <w:bCs/>
                <w:b/>
              </w:rPr>
              <w:t xml:space="preserve">101.185</w:t>
            </w:r>
            <w:r>
              <w:t xml:space="preserve"> </w:t>
            </w:r>
            <w:r>
              <w:t xml:space="preserve">|</w:t>
            </w:r>
          </w:p>
        </w:tc>
      </w:tr>
      <w:tr>
        <w:tc>
          <w:tcPr/>
          <w:p>
            <w:pPr>
              <w:pStyle w:val="Compact"/>
              <w:jc w:val="left"/>
            </w:pPr>
            <w:r>
              <w:rPr>
                <w:iCs/>
                <w:i/>
              </w:rPr>
              <w:t xml:space="preserve">Ghi chú: n_firms là phân bố xấp xỉ theo pool 101.185; tổng 5 nhóm chính (I-V) = 99.814 (phạm vi chính 41 nước châu Á); SIDS Nhóm VI = 1.371 (1,4% pool).</w:t>
            </w:r>
          </w:p>
        </w:tc>
      </w:tr>
      <w:tr>
        <w:tc>
          <w:tcPr/>
          <w:p>
            <w:pPr>
              <w:pStyle w:val="Compact"/>
              <w:jc w:val="left"/>
            </w:pPr>
            <w:r>
              <w:t xml:space="preserve">#### 2.3.2.4 Đặc điểm các nhóm ICRV</w:t>
            </w:r>
          </w:p>
        </w:tc>
      </w:tr>
      <w:tr>
        <w:tc>
          <w:tcPr/>
          <w:p>
            <w:pPr>
              <w:pStyle w:val="Compact"/>
              <w:jc w:val="left"/>
            </w:pPr>
            <w:r>
              <w:rPr>
                <w:bCs/>
                <w:b/>
              </w:rPr>
              <w:t xml:space="preserve">Bảng 2.3.2.2</w:t>
            </w:r>
            <w:r>
              <w:t xml:space="preserve">.</w:t>
            </w:r>
            <w:r>
              <w:t xml:space="preserve"> </w:t>
            </w:r>
            <w:r>
              <w:rPr>
                <w:iCs/>
                <w:i/>
              </w:rPr>
              <w:t xml:space="preserve">Đặc điểm điển hình của 6 nhóm ICRV, WGI, GNI, cơ chế tăng trưởng, pattern WBES dự kiến.</w:t>
            </w:r>
          </w:p>
        </w:tc>
      </w:tr>
      <w:tr>
        <w:tc>
          <w:tcPr/>
          <w:p>
            <w:pPr>
              <w:pStyle w:val="Compact"/>
              <w:jc w:val="left"/>
            </w:pPr>
            <w:r>
              <w:t xml:space="preserve">| Nhóm | WGI Rule of Law | GNI/capita | Cơ chế tăng trưởng | FSTS dự kiến | sd log LP | Cơ chế quốc tế hóa - hiệu quả |</w:t>
            </w:r>
            <w:r>
              <w:t xml:space="preserve"> </w:t>
            </w:r>
            <w:r>
              <w:t xml:space="preserve">|—|—|—|—|—|—|—|</w:t>
            </w:r>
            <w:r>
              <w:t xml:space="preserve"> </w:t>
            </w:r>
            <w:r>
              <w:t xml:space="preserve">| I, Innovation | &gt;+0,80 | &gt;$30k | R&amp;D + dịch vụ tri thức | Trung bình (6-15%) | ~1,03 | U ngược nhẹ / tuyến tính dương; điểm uốn ~82% (SG) |</w:t>
            </w:r>
            <w:r>
              <w:t xml:space="preserve"> </w:t>
            </w:r>
            <w:r>
              <w:t xml:space="preserve">| II, Resource | +0,00 đến +0,50 | &gt;$20k | Xuất khẩu dầu/khí | Thấp (1-3%) | ~0,49 | Phi tuyến suy yếu; nhà nước tô phân phối lại |</w:t>
            </w:r>
            <w:r>
              <w:t xml:space="preserve"> </w:t>
            </w:r>
            <w:r>
              <w:t xml:space="preserve">| III, Upper-mid | 0,00 đến +0,80 | $5k–$20k | Sản xuất + chuyển đổi | Trung bình (8-12%) | ~1,29 | U ngược; điểm uốn ~47% |</w:t>
            </w:r>
            <w:r>
              <w:t xml:space="preserve"> </w:t>
            </w:r>
            <w:r>
              <w:t xml:space="preserve">| IV, Emerging | -0,50 đến 0,00 | $1k–$5k | FDI-driven sản xuất | Biến động (7-23%) | ~1,24 | U ngược; điểm uốn 39-46% (VNM), bẫy chuyển hướng nguồn lực |</w:t>
            </w:r>
            <w:r>
              <w:t xml:space="preserve"> </w:t>
            </w:r>
            <w:r>
              <w:t xml:space="preserve">| V, Frontier | &lt;-0,50 | &lt;$1k–$3k | Tự cấp + phi chính thức | Thấp-trung bình | ~1,36 | Yếu; voids thể chế dẫn đến đổi mới bằng nguồn lực hạn chế |</w:t>
            </w:r>
            <w:r>
              <w:t xml:space="preserve"> </w:t>
            </w:r>
            <w:r>
              <w:t xml:space="preserve">| VI, SIDS | Đặc biệt | $1k–$8k | MIRAB + du lịch | Rất thấp (1-12%) | ~1,32 | Chi phí buộc phải quốc tế hóa, U-curve không vận hành |</w:t>
            </w:r>
          </w:p>
        </w:tc>
      </w:tr>
      <w:tr>
        <w:tc>
          <w:tcPr/>
          <w:p>
            <w:pPr>
              <w:pStyle w:val="Compact"/>
              <w:jc w:val="left"/>
            </w:pPr>
            <w:r>
              <w:rPr>
                <w:iCs/>
                <w:i/>
              </w:rPr>
              <w:t xml:space="preserve">Nguồn: Tổng hợp từ World Bank Enterprise Surveys (2025); WGI từ Kaufmann et al. (2011); GNI từ World Bank (2025, tháng 7). Pattern WBES từ phân tích Chương 4 và Đỗ &amp; Phan (2026, VEFR, JABS, JFAR, MIR under review).</w:t>
            </w:r>
          </w:p>
        </w:tc>
      </w:tr>
    </w:tbl>
    <w:bookmarkEnd w:id="39"/>
    <w:bookmarkEnd w:id="40"/>
    <w:bookmarkStart w:id="44" w:name="X71126d3a9cbef6cfbe4977212de66e8cb3d47a9"/>
    <w:p>
      <w:pPr>
        <w:pStyle w:val="Heading3"/>
      </w:pPr>
      <w:r>
        <w:t xml:space="preserve">2.3.3 Thực trạng năng suất lao động và quốc tế hóa</w:t>
      </w:r>
    </w:p>
    <w:bookmarkStart w:id="41" w:name="nguồn-dữ-liệu-và-cấu-trúc-pool"/>
    <w:p>
      <w:pPr>
        <w:pStyle w:val="Heading4"/>
      </w:pPr>
      <w:r>
        <w:t xml:space="preserve">2.3.3.1 Nguồn dữ liệu và cấu trúc pool</w:t>
      </w:r>
    </w:p>
    <w:p>
      <w:pPr>
        <w:pStyle w:val="FirstParagraph"/>
      </w:pPr>
      <w:r>
        <w:rPr>
          <w:bCs/>
          <w:b/>
        </w:rPr>
        <w:t xml:space="preserve">Phạm vi tổng hợp dữ liệu</w:t>
      </w:r>
      <w:r>
        <w:t xml:space="preserve">. Nhóm dữ liệu gồm</w:t>
      </w:r>
      <w:r>
        <w:t xml:space="preserve"> </w:t>
      </w:r>
      <w:r>
        <w:rPr>
          <w:bCs/>
          <w:b/>
        </w:rPr>
        <w:t xml:space="preserve">101.185 doanh nghiệp</w:t>
      </w:r>
      <w:r>
        <w:t xml:space="preserve">, 47 nền kinh tế,</w:t>
      </w:r>
      <w:r>
        <w:t xml:space="preserve"> </w:t>
      </w:r>
      <w:r>
        <w:rPr>
          <w:bCs/>
          <w:b/>
        </w:rPr>
        <w:t xml:space="preserve">108 cặp quốc gia × năm</w:t>
      </w:r>
      <w:r>
        <w:t xml:space="preserve">, giai đoạn 2009-2025 (bao gồm Kiribati 2025: +150 doanh nghiệp, +1 cặp quốc gia × năm). Tổng hợp này kế thừa và mở rộng từ 17 nước châu Á mới nổi (~40.633 doanh nghiệp) của Đỗ &amp; Phan (2026, VEFR), gấp ~2,5 lần. Phân bố theo phân nhóm con ICRV: Emerging 47.803 (47%), Frontier 28.678 (28%), Upper-middle 16.693 (17%), Advanced 6.640 (7%),</w:t>
      </w:r>
      <w:r>
        <w:t xml:space="preserve"> </w:t>
      </w:r>
      <w:r>
        <w:rPr>
          <w:bCs/>
          <w:b/>
        </w:rPr>
        <w:t xml:space="preserve">SIDS 1.371 (1,4%, bao gồm Kiribati 2025)</w:t>
      </w:r>
      <w:r>
        <w:t xml:space="preserve">. Có</w:t>
      </w:r>
      <w:r>
        <w:t xml:space="preserve"> </w:t>
      </w:r>
      <w:r>
        <w:rPr>
          <w:bCs/>
          <w:b/>
        </w:rPr>
        <w:t xml:space="preserve">14 quốc gia khảo sát năm 2025</w:t>
      </w:r>
      <w:r>
        <w:t xml:space="preserve"> </w:t>
      </w:r>
      <w:r>
        <w:t xml:space="preserve">với 17.053 doanh nghiệp (Nepal 2025 sử dụng BREADY Micro schema, n=1.740).</w:t>
      </w:r>
    </w:p>
    <w:p>
      <w:pPr>
        <w:pStyle w:val="BodyText"/>
      </w:pPr>
      <w:r>
        <w:rPr>
          <w:iCs/>
          <w:i/>
        </w:rPr>
        <w:t xml:space="preserve">Hình 2.3.3.1. Phân bố mẫu 101.185 doanh nghiệp xuyên 17 năm (2009-2025) theo 3 thế hệ schema WBES: PICS3 (2009-2012, n=14.171), Standardized (2013-2017, n=24.564), BREADY (2018-2025, n=62.450 bao gồm Kiribati 2025). Đợt 2025 đột biến với 17.053 doanh nghiệp = 16,9% pool (14 quốc gia, bao gồm Nepal 2025 BREADY Micro n=1.740).</w:t>
      </w:r>
    </w:p>
    <w:p>
      <w:pPr>
        <w:pStyle w:val="BodyText"/>
      </w:pPr>
      <w:r>
        <w:rPr>
          <w:iCs/>
          <w:i/>
        </w:rPr>
        <w:t xml:space="preserve">Hình 2.3.3.2. Bar chart phân bố theo 5 phân nhóm con: Emerging (47.803, 47,2%), Frontier (28.678, 28,3%), Upper-middle (16.693, 16,5%), Advanced (6.640, 6,6%), SIDS Thái Bình Dương (1.371, 1,4%, bao gồm Kiribati 2025).</w:t>
      </w:r>
    </w:p>
    <w:p>
      <w:pPr>
        <w:pStyle w:val="BodyText"/>
      </w:pPr>
      <w:r>
        <w:rPr>
          <w:bCs/>
          <w:b/>
        </w:rPr>
        <w:t xml:space="preserve">Trường hợp biên</w:t>
      </w:r>
      <w:r>
        <w:t xml:space="preserve">:</w:t>
      </w:r>
      <w:r>
        <w:t xml:space="preserve"> </w:t>
      </w:r>
      <w:r>
        <w:rPr>
          <w:bCs/>
          <w:b/>
        </w:rPr>
        <w:t xml:space="preserve">7 SIDS Thái Bình Dương đầy đủ</w:t>
      </w:r>
      <w:r>
        <w:t xml:space="preserve"> </w:t>
      </w:r>
      <w:r>
        <w:t xml:space="preserve">(FJI, PNG, SLB, TON, VUT, WSM, KIR). Phân bố thời gian: 2009-2012 (n=14.171), 2013-2017 (n=24.564), 2018-2025 (n=62.450, chiếm 62%). Quy trình hài hòa hóa: FSTS =</w:t>
      </w:r>
      <w:r>
        <w:t xml:space="preserve"> </w:t>
      </w:r>
      <w:r>
        <w:rPr>
          <w:rStyle w:val="VerbatimChar"/>
        </w:rPr>
        <w:t xml:space="preserve">d3b + d3c</w:t>
      </w:r>
      <w:r>
        <w:t xml:space="preserve">; winsorize log năng suất ở mức 1/99 phân vị trong cụm quốc gia × năm.</w:t>
      </w:r>
    </w:p>
    <w:bookmarkEnd w:id="41"/>
    <w:bookmarkStart w:id="42" w:name="phân-tán-năng-suất-lao-động"/>
    <w:p>
      <w:pPr>
        <w:pStyle w:val="Heading4"/>
      </w:pPr>
      <w:r>
        <w:t xml:space="preserve">2.3.3.2 Phân tán năng suất lao động</w:t>
      </w:r>
    </w:p>
    <w:p>
      <w:pPr>
        <w:pStyle w:val="FirstParagraph"/>
      </w:pPr>
      <w:r>
        <w:rPr>
          <w:bCs/>
          <w:b/>
        </w:rPr>
        <w:t xml:space="preserve">Bảng 2.3.3.1</w:t>
      </w:r>
      <w:r>
        <w:t xml:space="preserve">.</w:t>
      </w:r>
      <w:r>
        <w:t xml:space="preserve"> </w:t>
      </w:r>
      <w:r>
        <w:rPr>
          <w:iCs/>
          <w:i/>
        </w:rPr>
        <w:t xml:space="preserve">Phân tán năng suất lao động theo phân nhóm con thể chế (n=108 cặp quốc gia × năm).</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Phân nhóm con</w:t>
            </w:r>
          </w:p>
        </w:tc>
        <w:tc>
          <w:tcPr/>
          <w:p>
            <w:pPr>
              <w:pStyle w:val="Compact"/>
              <w:jc w:val="left"/>
            </w:pPr>
            <w:r>
              <w:t xml:space="preserve">Cặp QG×năm</w:t>
            </w:r>
          </w:p>
        </w:tc>
        <w:tc>
          <w:tcPr/>
          <w:p>
            <w:pPr>
              <w:pStyle w:val="Compact"/>
              <w:jc w:val="left"/>
            </w:pPr>
            <w:r>
              <w:t xml:space="preserve">n_firms</w:t>
            </w:r>
          </w:p>
        </w:tc>
        <w:tc>
          <w:tcPr/>
          <w:p>
            <w:pPr>
              <w:pStyle w:val="Compact"/>
              <w:jc w:val="left"/>
            </w:pPr>
            <w:r>
              <w:t xml:space="preserve">sd log</w:t>
            </w:r>
          </w:p>
        </w:tc>
        <w:tc>
          <w:tcPr/>
          <w:p>
            <w:pPr>
              <w:pStyle w:val="Compact"/>
              <w:jc w:val="left"/>
            </w:pPr>
            <w:r>
              <w:t xml:space="preserve">P90/P10</w:t>
            </w:r>
          </w:p>
        </w:tc>
        <w:tc>
          <w:tcPr/>
          <w:p>
            <w:pPr>
              <w:pStyle w:val="Compact"/>
              <w:jc w:val="left"/>
            </w:pPr>
            <w:r>
              <w:t xml:space="preserve">P75/P25</w:t>
            </w:r>
          </w:p>
        </w:tc>
      </w:tr>
      <w:tr>
        <w:tc>
          <w:tcPr/>
          <w:p>
            <w:pPr>
              <w:pStyle w:val="Compact"/>
              <w:jc w:val="left"/>
            </w:pPr>
            <w:r>
              <w:rPr>
                <w:bCs/>
                <w:b/>
              </w:rPr>
              <w:t xml:space="preserve">Advanced, innovation-driven</w:t>
            </w:r>
            <w:r>
              <w:t xml:space="preserve"> </w:t>
            </w:r>
            <w:r>
              <w:rPr>
                <w:iCs/>
                <w:i/>
              </w:rPr>
              <w:t xml:space="preserve">(SG, HK, KOR, TWN, ISR)</w:t>
            </w:r>
          </w:p>
        </w:tc>
        <w:tc>
          <w:tcPr/>
          <w:p>
            <w:pPr>
              <w:pStyle w:val="Compact"/>
              <w:jc w:val="left"/>
            </w:pPr>
            <w:r>
              <w:t xml:space="preserve">~8</w:t>
            </w:r>
          </w:p>
        </w:tc>
        <w:tc>
          <w:tcPr/>
          <w:p>
            <w:pPr>
              <w:pStyle w:val="Compact"/>
              <w:jc w:val="left"/>
            </w:pPr>
            <w:r>
              <w:t xml:space="preserve">~4.220</w:t>
            </w:r>
          </w:p>
        </w:tc>
        <w:tc>
          <w:tcPr/>
          <w:p>
            <w:pPr>
              <w:pStyle w:val="Compact"/>
              <w:jc w:val="left"/>
            </w:pPr>
            <w:r>
              <w:rPr>
                <w:bCs/>
                <w:b/>
              </w:rPr>
              <w:t xml:space="preserve">1,03</w:t>
            </w:r>
          </w:p>
        </w:tc>
        <w:tc>
          <w:tcPr/>
          <w:p>
            <w:pPr>
              <w:pStyle w:val="Compact"/>
              <w:jc w:val="left"/>
            </w:pPr>
            <w:r>
              <w:t xml:space="preserve">-</w:t>
            </w:r>
          </w:p>
        </w:tc>
        <w:tc>
          <w:tcPr/>
          <w:p>
            <w:pPr>
              <w:pStyle w:val="Compact"/>
              <w:jc w:val="left"/>
            </w:pPr>
            <w:r>
              <w:t xml:space="preserve">-</w:t>
            </w:r>
          </w:p>
        </w:tc>
      </w:tr>
      <w:tr>
        <w:tc>
          <w:tcPr/>
          <w:p>
            <w:pPr>
              <w:pStyle w:val="Compact"/>
              <w:jc w:val="left"/>
            </w:pPr>
            <w:r>
              <w:rPr>
                <w:bCs/>
                <w:b/>
              </w:rPr>
              <w:t xml:space="preserve">Advanced, resource-driven</w:t>
            </w:r>
            <w:r>
              <w:t xml:space="preserve"> </w:t>
            </w:r>
            <w:r>
              <w:rPr>
                <w:iCs/>
                <w:i/>
              </w:rPr>
              <w:t xml:space="preserve">(SAU, QAT, KWT, BHR, BRN)</w:t>
            </w:r>
          </w:p>
        </w:tc>
        <w:tc>
          <w:tcPr/>
          <w:p>
            <w:pPr>
              <w:pStyle w:val="Compact"/>
              <w:jc w:val="left"/>
            </w:pPr>
            <w:r>
              <w:t xml:space="preserve">~5</w:t>
            </w:r>
          </w:p>
        </w:tc>
        <w:tc>
          <w:tcPr/>
          <w:p>
            <w:pPr>
              <w:pStyle w:val="Compact"/>
              <w:jc w:val="left"/>
            </w:pPr>
            <w:r>
              <w:t xml:space="preserve">~1.932</w:t>
            </w:r>
          </w:p>
        </w:tc>
        <w:tc>
          <w:tcPr/>
          <w:p>
            <w:pPr>
              <w:pStyle w:val="Compact"/>
              <w:jc w:val="left"/>
            </w:pPr>
            <w:r>
              <w:rPr>
                <w:bCs/>
                <w:b/>
              </w:rPr>
              <w:t xml:space="preserve">0,49</w:t>
            </w:r>
          </w:p>
        </w:tc>
        <w:tc>
          <w:tcPr/>
          <w:p>
            <w:pPr>
              <w:pStyle w:val="Compact"/>
              <w:jc w:val="left"/>
            </w:pPr>
            <w:r>
              <w:t xml:space="preserve">-</w:t>
            </w:r>
          </w:p>
        </w:tc>
        <w:tc>
          <w:tcPr/>
          <w:p>
            <w:pPr>
              <w:pStyle w:val="Compact"/>
              <w:jc w:val="left"/>
            </w:pPr>
            <w:r>
              <w:t xml:space="preserve">-</w:t>
            </w:r>
          </w:p>
        </w:tc>
      </w:tr>
      <w:tr>
        <w:tc>
          <w:tcPr/>
          <w:p>
            <w:pPr>
              <w:pStyle w:val="Compact"/>
              <w:jc w:val="left"/>
            </w:pPr>
            <w:r>
              <w:rPr>
                <w:iCs/>
                <w:i/>
              </w:rPr>
              <w:t xml:space="preserve">Advanced (gộp, tham chiếu)</w:t>
            </w:r>
          </w:p>
        </w:tc>
        <w:tc>
          <w:tcPr/>
          <w:p>
            <w:pPr>
              <w:pStyle w:val="Compact"/>
              <w:jc w:val="left"/>
            </w:pPr>
            <w:r>
              <w:t xml:space="preserve">13</w:t>
            </w:r>
          </w:p>
        </w:tc>
        <w:tc>
          <w:tcPr/>
          <w:p>
            <w:pPr>
              <w:pStyle w:val="Compact"/>
              <w:jc w:val="left"/>
            </w:pPr>
            <w:r>
              <w:t xml:space="preserve">5.921</w:t>
            </w:r>
          </w:p>
        </w:tc>
        <w:tc>
          <w:tcPr/>
          <w:p>
            <w:pPr>
              <w:pStyle w:val="Compact"/>
              <w:jc w:val="left"/>
            </w:pPr>
            <w:r>
              <w:t xml:space="preserve">0,86</w:t>
            </w:r>
          </w:p>
        </w:tc>
        <w:tc>
          <w:tcPr/>
          <w:p>
            <w:pPr>
              <w:pStyle w:val="Compact"/>
              <w:jc w:val="left"/>
            </w:pPr>
            <w:r>
              <w:t xml:space="preserve">10,8</w:t>
            </w:r>
          </w:p>
        </w:tc>
        <w:tc>
          <w:tcPr/>
          <w:p>
            <w:pPr>
              <w:pStyle w:val="Compact"/>
              <w:jc w:val="left"/>
            </w:pPr>
            <w:r>
              <w:t xml:space="preserve">3,1</w:t>
            </w:r>
          </w:p>
        </w:tc>
      </w:tr>
      <w:tr>
        <w:tc>
          <w:tcPr/>
          <w:p>
            <w:pPr>
              <w:pStyle w:val="Compact"/>
              <w:jc w:val="left"/>
            </w:pPr>
            <w:r>
              <w:t xml:space="preserve">Upper-middle</w:t>
            </w:r>
          </w:p>
        </w:tc>
        <w:tc>
          <w:tcPr/>
          <w:p>
            <w:pPr>
              <w:pStyle w:val="Compact"/>
              <w:jc w:val="left"/>
            </w:pPr>
            <w:r>
              <w:t xml:space="preserve">18</w:t>
            </w:r>
          </w:p>
        </w:tc>
        <w:tc>
          <w:tcPr/>
          <w:p>
            <w:pPr>
              <w:pStyle w:val="Compact"/>
              <w:jc w:val="left"/>
            </w:pPr>
            <w:r>
              <w:t xml:space="preserve">15.174</w:t>
            </w:r>
          </w:p>
        </w:tc>
        <w:tc>
          <w:tcPr/>
          <w:p>
            <w:pPr>
              <w:pStyle w:val="Compact"/>
              <w:jc w:val="left"/>
            </w:pPr>
            <w:r>
              <w:t xml:space="preserve">1,29</w:t>
            </w:r>
          </w:p>
        </w:tc>
        <w:tc>
          <w:tcPr/>
          <w:p>
            <w:pPr>
              <w:pStyle w:val="Compact"/>
              <w:jc w:val="left"/>
            </w:pPr>
            <w:r>
              <w:t xml:space="preserve">27,7</w:t>
            </w:r>
          </w:p>
        </w:tc>
        <w:tc>
          <w:tcPr/>
          <w:p>
            <w:pPr>
              <w:pStyle w:val="Compact"/>
              <w:jc w:val="left"/>
            </w:pPr>
            <w:r>
              <w:t xml:space="preserve">5,4</w:t>
            </w:r>
          </w:p>
        </w:tc>
      </w:tr>
      <w:tr>
        <w:tc>
          <w:tcPr/>
          <w:p>
            <w:pPr>
              <w:pStyle w:val="Compact"/>
              <w:jc w:val="left"/>
            </w:pPr>
            <w:r>
              <w:t xml:space="preserve">Emerging</w:t>
            </w:r>
          </w:p>
        </w:tc>
        <w:tc>
          <w:tcPr/>
          <w:p>
            <w:pPr>
              <w:pStyle w:val="Compact"/>
              <w:jc w:val="left"/>
            </w:pPr>
            <w:r>
              <w:t xml:space="preserve">20</w:t>
            </w:r>
          </w:p>
        </w:tc>
        <w:tc>
          <w:tcPr/>
          <w:p>
            <w:pPr>
              <w:pStyle w:val="Compact"/>
              <w:jc w:val="left"/>
            </w:pPr>
            <w:r>
              <w:t xml:space="preserve">45.388</w:t>
            </w:r>
          </w:p>
        </w:tc>
        <w:tc>
          <w:tcPr/>
          <w:p>
            <w:pPr>
              <w:pStyle w:val="Compact"/>
              <w:jc w:val="left"/>
            </w:pPr>
            <w:r>
              <w:t xml:space="preserve">1,24</w:t>
            </w:r>
          </w:p>
        </w:tc>
        <w:tc>
          <w:tcPr/>
          <w:p>
            <w:pPr>
              <w:pStyle w:val="Compact"/>
              <w:jc w:val="left"/>
            </w:pPr>
            <w:r>
              <w:t xml:space="preserve">30,6</w:t>
            </w:r>
          </w:p>
        </w:tc>
        <w:tc>
          <w:tcPr/>
          <w:p>
            <w:pPr>
              <w:pStyle w:val="Compact"/>
              <w:jc w:val="left"/>
            </w:pPr>
            <w:r>
              <w:t xml:space="preserve">5,1</w:t>
            </w:r>
          </w:p>
        </w:tc>
      </w:tr>
      <w:tr>
        <w:tc>
          <w:tcPr/>
          <w:p>
            <w:pPr>
              <w:pStyle w:val="Compact"/>
              <w:jc w:val="left"/>
            </w:pPr>
            <w:r>
              <w:t xml:space="preserve">Frontier</w:t>
            </w:r>
          </w:p>
        </w:tc>
        <w:tc>
          <w:tcPr/>
          <w:p>
            <w:pPr>
              <w:pStyle w:val="Compact"/>
              <w:jc w:val="left"/>
            </w:pPr>
            <w:r>
              <w:t xml:space="preserve">42</w:t>
            </w:r>
          </w:p>
        </w:tc>
        <w:tc>
          <w:tcPr/>
          <w:p>
            <w:pPr>
              <w:pStyle w:val="Compact"/>
              <w:jc w:val="left"/>
            </w:pPr>
            <w:r>
              <w:t xml:space="preserve">18.877</w:t>
            </w:r>
          </w:p>
        </w:tc>
        <w:tc>
          <w:tcPr/>
          <w:p>
            <w:pPr>
              <w:pStyle w:val="Compact"/>
              <w:jc w:val="left"/>
            </w:pPr>
            <w:r>
              <w:t xml:space="preserve">1,36</w:t>
            </w:r>
          </w:p>
        </w:tc>
        <w:tc>
          <w:tcPr/>
          <w:p>
            <w:pPr>
              <w:pStyle w:val="Compact"/>
              <w:jc w:val="left"/>
            </w:pPr>
            <w:r>
              <w:t xml:space="preserve">39,6</w:t>
            </w:r>
          </w:p>
        </w:tc>
        <w:tc>
          <w:tcPr/>
          <w:p>
            <w:pPr>
              <w:pStyle w:val="Compact"/>
              <w:jc w:val="left"/>
            </w:pPr>
            <w:r>
              <w:t xml:space="preserve">6,1</w:t>
            </w:r>
          </w:p>
        </w:tc>
      </w:tr>
      <w:tr>
        <w:tc>
          <w:tcPr/>
          <w:p>
            <w:pPr>
              <w:pStyle w:val="Compact"/>
              <w:jc w:val="left"/>
            </w:pPr>
            <w:r>
              <w:rPr>
                <w:bCs/>
                <w:b/>
              </w:rPr>
              <w:t xml:space="preserve">SIDS Thái Bình Dương (bao gồm Kiribati 2025)</w:t>
            </w:r>
          </w:p>
        </w:tc>
        <w:tc>
          <w:tcPr/>
          <w:p>
            <w:pPr>
              <w:pStyle w:val="Compact"/>
              <w:jc w:val="left"/>
            </w:pPr>
            <w:r>
              <w:rPr>
                <w:bCs/>
                <w:b/>
              </w:rPr>
              <w:t xml:space="preserve">10</w:t>
            </w:r>
          </w:p>
        </w:tc>
        <w:tc>
          <w:tcPr/>
          <w:p>
            <w:pPr>
              <w:pStyle w:val="Compact"/>
              <w:jc w:val="left"/>
            </w:pPr>
            <w:r>
              <w:rPr>
                <w:bCs/>
                <w:b/>
              </w:rPr>
              <w:t xml:space="preserve">1.097</w:t>
            </w:r>
          </w:p>
        </w:tc>
        <w:tc>
          <w:tcPr/>
          <w:p>
            <w:pPr>
              <w:pStyle w:val="Compact"/>
              <w:jc w:val="left"/>
            </w:pPr>
            <w:r>
              <w:rPr>
                <w:bCs/>
                <w:b/>
              </w:rPr>
              <w:t xml:space="preserve">1,32</w:t>
            </w:r>
          </w:p>
        </w:tc>
        <w:tc>
          <w:tcPr/>
          <w:p>
            <w:pPr>
              <w:pStyle w:val="Compact"/>
              <w:jc w:val="left"/>
            </w:pPr>
            <w:r>
              <w:t xml:space="preserve">-</w:t>
            </w:r>
          </w:p>
        </w:tc>
        <w:tc>
          <w:tcPr/>
          <w:p>
            <w:pPr>
              <w:pStyle w:val="Compact"/>
              <w:jc w:val="left"/>
            </w:pPr>
            <w:r>
              <w:t xml:space="preserve">-</w:t>
            </w:r>
          </w:p>
        </w:tc>
      </w:tr>
    </w:tbl>
    <w:p>
      <w:pPr>
        <w:pStyle w:val="BodyText"/>
      </w:pPr>
      <w:r>
        <w:rPr>
          <w:iCs/>
          <w:i/>
        </w:rPr>
        <w:t xml:space="preserve">Ghi chú: Advanced tách 2 phân nhóm con, tỷ số phân tán Singapore (1,03) so với Vùng Vịnh (0,49)</w:t>
      </w:r>
      <w:r>
        <w:rPr>
          <w:iCs/>
          <w:i/>
        </w:rPr>
        <w:t xml:space="preserve"> </w:t>
      </w:r>
      <m:oMath>
        <m:r>
          <m:rPr>
            <m:sty m:val="p"/>
          </m:rPr>
          <m:t>≈</m:t>
        </m:r>
      </m:oMath>
      <w:r>
        <w:rPr>
          <w:iCs/>
          <w:i/>
        </w:rPr>
        <w:t xml:space="preserve"> </w:t>
      </w:r>
      <w:r>
        <w:rPr>
          <w:bCs/>
          <w:b/>
          <w:iCs/>
          <w:i/>
        </w:rPr>
        <w:t xml:space="preserve">2,1 lần</w:t>
      </w:r>
      <w:r>
        <w:rPr>
          <w:iCs/>
          <w:i/>
        </w:rPr>
        <w:t xml:space="preserve">. Hàng SIDS bao gồm Kiribati 2025 (n=150, độ lệch chuẩn log 1,48). n_firms trong bảng phản ánh mẫu phân tích sau khi loại bỏ giá trị thiếu cho biến năng suất (SIDS analytic n=1.097 so với pool đầy đủ n=1.371; chênh lệch 274 quan sát do thiếu dữ liệu doanh thu hoặc lao động).</w:t>
      </w:r>
    </w:p>
    <w:p>
      <w:pPr>
        <w:pStyle w:val="BodyText"/>
      </w:pPr>
      <w:r>
        <w:rPr>
          <w:iCs/>
          <w:i/>
        </w:rPr>
        <w:t xml:space="preserve">Hình 2.3.3.3. Đồ thị mật độ kernel cho 6 phân nhóm con: Advanced innovation (sd 1,03), Advanced resource (sd 0,49), Upper-middle (1,29), Emerging (1,24), Frontier (1,36), SIDS (1,32). Phân nhóm tài nguyên dẫn dắt (Vùng Vịnh) phân tán hẹp nhất; Frontier rộng nhất.</w:t>
      </w:r>
    </w:p>
    <w:p>
      <w:pPr>
        <w:pStyle w:val="BodyText"/>
      </w:pPr>
      <w:r>
        <w:t xml:space="preserve">Năm phát hiện chính từ Bảng 2.3.3.1: (1) Phân tán Advanced gộp giảm từ 1,00 xuống 0,86 sau khi bổ sung Vùng Vịnh, bằng chứng dị biệt nội bộ; (2) Frontier cao nhất, phù hợp</w:t>
      </w:r>
      <w:r>
        <w:t xml:space="preserve"> </w:t>
      </w:r>
      <w:r>
        <w:rPr>
          <w:bCs/>
          <w:b/>
        </w:rPr>
        <w:t xml:space="preserve">giả thuyết phân bổ sai nguồn lực</w:t>
      </w:r>
      <w:r>
        <w:t xml:space="preserve"> </w:t>
      </w:r>
      <w:r>
        <w:t xml:space="preserve">Hsieh &amp; Klenow (2009, 2014); (3) SIDS ở mức trung bình ~1,32; (4) tỷ số P90/P10 tăng đơn điệu theo phân nhóm con; (5) bằng chứng cho điều tiết thể chế trong quan hệ quốc tế hóa - hiệu quả.</w:t>
      </w:r>
    </w:p>
    <w:bookmarkEnd w:id="42"/>
    <w:bookmarkStart w:id="43" w:name="Xcc3eee4fbea372afb82cb0ae0b2af37656e40ee"/>
    <w:p>
      <w:pPr>
        <w:pStyle w:val="Heading4"/>
      </w:pPr>
      <w:r>
        <w:t xml:space="preserve">2.3.3.3 Thực trạng quốc tế hóa và tăng trưởng việc làm</w:t>
      </w:r>
    </w:p>
    <w:p>
      <w:pPr>
        <w:pStyle w:val="FirstParagraph"/>
      </w:pPr>
      <w:r>
        <w:rPr>
          <w:bCs/>
          <w:b/>
        </w:rPr>
        <w:t xml:space="preserve">Bảng 2.3.3.2</w:t>
      </w:r>
      <w:r>
        <w:t xml:space="preserve">.</w:t>
      </w:r>
      <w:r>
        <w:t xml:space="preserve"> </w:t>
      </w:r>
      <w:r>
        <w:rPr>
          <w:iCs/>
          <w:i/>
        </w:rPr>
        <w:t xml:space="preserve">FSTS, doanh nghiệp xuất khẩu và CAGR việc làm theo phân nhóm con.</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Phân nhóm con</w:t>
            </w:r>
          </w:p>
        </w:tc>
        <w:tc>
          <w:tcPr/>
          <w:p>
            <w:pPr>
              <w:pStyle w:val="Compact"/>
              <w:jc w:val="left"/>
            </w:pPr>
            <w:r>
              <w:t xml:space="preserve">FSTS (%)</w:t>
            </w:r>
          </w:p>
        </w:tc>
        <w:tc>
          <w:tcPr/>
          <w:p>
            <w:pPr>
              <w:pStyle w:val="Compact"/>
              <w:jc w:val="left"/>
            </w:pPr>
            <w:r>
              <w:t xml:space="preserve">Doanh nghiệp xuất khẩu (%)</w:t>
            </w:r>
          </w:p>
        </w:tc>
        <w:tc>
          <w:tcPr/>
          <w:p>
            <w:pPr>
              <w:pStyle w:val="Compact"/>
              <w:jc w:val="left"/>
            </w:pPr>
            <w:r>
              <w:t xml:space="preserve">CAGR việc làm (%)</w:t>
            </w:r>
          </w:p>
        </w:tc>
      </w:tr>
      <w:tr>
        <w:tc>
          <w:tcPr/>
          <w:p>
            <w:pPr>
              <w:pStyle w:val="Compact"/>
              <w:jc w:val="left"/>
            </w:pPr>
            <w:r>
              <w:t xml:space="preserve">Advanced</w:t>
            </w:r>
          </w:p>
        </w:tc>
        <w:tc>
          <w:tcPr/>
          <w:p>
            <w:pPr>
              <w:pStyle w:val="Compact"/>
              <w:jc w:val="left"/>
            </w:pPr>
            <w:r>
              <w:t xml:space="preserve">10,2</w:t>
            </w:r>
          </w:p>
        </w:tc>
        <w:tc>
          <w:tcPr/>
          <w:p>
            <w:pPr>
              <w:pStyle w:val="Compact"/>
              <w:jc w:val="left"/>
            </w:pPr>
            <w:r>
              <w:t xml:space="preserve">23,0</w:t>
            </w:r>
          </w:p>
        </w:tc>
        <w:tc>
          <w:tcPr/>
          <w:p>
            <w:pPr>
              <w:pStyle w:val="Compact"/>
              <w:jc w:val="left"/>
            </w:pPr>
            <w:r>
              <w:t xml:space="preserve">3,15</w:t>
            </w:r>
          </w:p>
        </w:tc>
      </w:tr>
      <w:tr>
        <w:tc>
          <w:tcPr/>
          <w:p>
            <w:pPr>
              <w:pStyle w:val="Compact"/>
              <w:jc w:val="left"/>
            </w:pPr>
            <w:r>
              <w:t xml:space="preserve">Upper-middle</w:t>
            </w:r>
          </w:p>
        </w:tc>
        <w:tc>
          <w:tcPr/>
          <w:p>
            <w:pPr>
              <w:pStyle w:val="Compact"/>
              <w:jc w:val="left"/>
            </w:pPr>
            <w:r>
              <w:t xml:space="preserve">10,3</w:t>
            </w:r>
          </w:p>
        </w:tc>
        <w:tc>
          <w:tcPr/>
          <w:p>
            <w:pPr>
              <w:pStyle w:val="Compact"/>
              <w:jc w:val="left"/>
            </w:pPr>
            <w:r>
              <w:t xml:space="preserve">21,7</w:t>
            </w:r>
          </w:p>
        </w:tc>
        <w:tc>
          <w:tcPr/>
          <w:p>
            <w:pPr>
              <w:pStyle w:val="Compact"/>
              <w:jc w:val="left"/>
            </w:pPr>
            <w:r>
              <w:t xml:space="preserve">4,25</w:t>
            </w:r>
          </w:p>
        </w:tc>
      </w:tr>
      <w:tr>
        <w:tc>
          <w:tcPr/>
          <w:p>
            <w:pPr>
              <w:pStyle w:val="Compact"/>
              <w:jc w:val="left"/>
            </w:pPr>
            <w:r>
              <w:t xml:space="preserve">Emerging</w:t>
            </w:r>
          </w:p>
        </w:tc>
        <w:tc>
          <w:tcPr/>
          <w:p>
            <w:pPr>
              <w:pStyle w:val="Compact"/>
              <w:jc w:val="left"/>
            </w:pPr>
            <w:r>
              <w:t xml:space="preserve">8,6</w:t>
            </w:r>
          </w:p>
        </w:tc>
        <w:tc>
          <w:tcPr/>
          <w:p>
            <w:pPr>
              <w:pStyle w:val="Compact"/>
              <w:jc w:val="left"/>
            </w:pPr>
            <w:r>
              <w:t xml:space="preserve">15,5</w:t>
            </w:r>
          </w:p>
        </w:tc>
        <w:tc>
          <w:tcPr/>
          <w:p>
            <w:pPr>
              <w:pStyle w:val="Compact"/>
              <w:jc w:val="left"/>
            </w:pPr>
            <w:r>
              <w:t xml:space="preserve">2,81</w:t>
            </w:r>
          </w:p>
        </w:tc>
      </w:tr>
      <w:tr>
        <w:tc>
          <w:tcPr/>
          <w:p>
            <w:pPr>
              <w:pStyle w:val="Compact"/>
              <w:jc w:val="left"/>
            </w:pPr>
            <w:r>
              <w:t xml:space="preserve">Frontier</w:t>
            </w:r>
          </w:p>
        </w:tc>
        <w:tc>
          <w:tcPr/>
          <w:p>
            <w:pPr>
              <w:pStyle w:val="Compact"/>
              <w:jc w:val="left"/>
            </w:pPr>
            <w:r>
              <w:t xml:space="preserve">10,1</w:t>
            </w:r>
          </w:p>
        </w:tc>
        <w:tc>
          <w:tcPr/>
          <w:p>
            <w:pPr>
              <w:pStyle w:val="Compact"/>
              <w:jc w:val="left"/>
            </w:pPr>
            <w:r>
              <w:t xml:space="preserve">16,6</w:t>
            </w:r>
          </w:p>
        </w:tc>
        <w:tc>
          <w:tcPr/>
          <w:p>
            <w:pPr>
              <w:pStyle w:val="Compact"/>
              <w:jc w:val="left"/>
            </w:pPr>
            <w:r>
              <w:t xml:space="preserve">3,65</w:t>
            </w:r>
          </w:p>
        </w:tc>
      </w:tr>
      <w:tr>
        <w:tc>
          <w:tcPr/>
          <w:p>
            <w:pPr>
              <w:pStyle w:val="Compact"/>
              <w:jc w:val="left"/>
            </w:pPr>
            <w:r>
              <w:t xml:space="preserve">SIDS</w:t>
            </w:r>
          </w:p>
        </w:tc>
        <w:tc>
          <w:tcPr/>
          <w:p>
            <w:pPr>
              <w:pStyle w:val="Compact"/>
              <w:jc w:val="left"/>
            </w:pPr>
            <w:r>
              <w:t xml:space="preserve">6,3</w:t>
            </w:r>
          </w:p>
        </w:tc>
        <w:tc>
          <w:tcPr/>
          <w:p>
            <w:pPr>
              <w:pStyle w:val="Compact"/>
              <w:jc w:val="left"/>
            </w:pPr>
            <w:r>
              <w:t xml:space="preserve">16,3</w:t>
            </w:r>
          </w:p>
        </w:tc>
        <w:tc>
          <w:tcPr/>
          <w:p>
            <w:pPr>
              <w:pStyle w:val="Compact"/>
              <w:jc w:val="left"/>
            </w:pPr>
            <w:r>
              <w:t xml:space="preserve">5,77</w:t>
            </w:r>
          </w:p>
        </w:tc>
      </w:tr>
    </w:tbl>
    <w:p>
      <w:pPr>
        <w:pStyle w:val="BodyText"/>
      </w:pPr>
      <w:r>
        <w:t xml:space="preserve">Trung vị FSTS bằng 0%, phân phối phân cực mạnh với chỉ 15-23% doanh nghiệp tham gia xuất khẩu tùy theo nhóm. SIDS có tốc độ tăng trưởng việc làm hàng năm kép cao nhất (5,77%), phản ánh quy mô nhỏ và tăng trưởng từ nền thấp. Advanced và Upper-middle có FSTS gần tương đương (~10%) nhưng cơ chế xuất khẩu hoàn toàn khác nhau: Advanced chủ yếu dịch vụ và hàng hóa hàm lượng tri thức cao; Upper-middle chủ yếu sản xuất theo chuỗi giá trị toàn cầu.</w:t>
      </w:r>
    </w:p>
    <w:p>
      <w:r>
        <w:pict>
          <v:rect style="width:0;height:1.5pt" o:hralign="center" o:hrstd="t" o:hr="t"/>
        </w:pict>
      </w:r>
    </w:p>
    <w:bookmarkEnd w:id="43"/>
    <w:bookmarkEnd w:id="44"/>
    <w:bookmarkStart w:id="48" w:name="đổi-mới-sáng-tạo-và-năng-lực-số-hóa"/>
    <w:p>
      <w:pPr>
        <w:pStyle w:val="Heading3"/>
      </w:pPr>
      <w:r>
        <w:t xml:space="preserve">2.3.4 Đổi mới sáng tạo và năng lực số hóa</w:t>
      </w:r>
    </w:p>
    <w:bookmarkStart w:id="45" w:name="khung-5-lĩnh-vực-chỉ-số-wbes"/>
    <w:p>
      <w:pPr>
        <w:pStyle w:val="Heading4"/>
      </w:pPr>
      <w:r>
        <w:t xml:space="preserve">2.3.4.1 Khung 5 lĩnh vực chỉ số WBES</w:t>
      </w:r>
    </w:p>
    <w:p>
      <w:pPr>
        <w:pStyle w:val="FirstParagraph"/>
      </w:pPr>
      <w:r>
        <w:t xml:space="preserve">WBES tổ chức các chỉ số doanh nghiệp thành</w:t>
      </w:r>
      <w:r>
        <w:t xml:space="preserve"> </w:t>
      </w:r>
      <w:r>
        <w:rPr>
          <w:bCs/>
          <w:b/>
        </w:rPr>
        <w:t xml:space="preserve">5 lĩnh vực chính thức</w:t>
      </w:r>
      <w:r>
        <w:t xml:space="preserve">: (1) Quy định pháp lý và thuế; (2) Tài chính và tín dụng; (3) Cơ sở hạ tầng và khí hậu; (4) Thương mại và cạnh tranh; (5) Tham nhũng và phi chính thức.</w:t>
      </w:r>
    </w:p>
    <w:p>
      <w:pPr>
        <w:pStyle w:val="BodyText"/>
      </w:pPr>
      <w:r>
        <w:rPr>
          <w:bCs/>
          <w:b/>
        </w:rPr>
        <w:t xml:space="preserve">Bảng 2.3.4.2</w:t>
      </w:r>
      <w:r>
        <w:t xml:space="preserve">.</w:t>
      </w:r>
      <w:r>
        <w:t xml:space="preserve"> </w:t>
      </w:r>
      <w:r>
        <w:rPr>
          <w:iCs/>
          <w:i/>
        </w:rPr>
        <w:t xml:space="preserve">Khung 5 lĩnh vực chỉ số WBES, định vị phạm vi đo lường.</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w:t>
            </w:r>
          </w:p>
        </w:tc>
        <w:tc>
          <w:tcPr/>
          <w:p>
            <w:pPr>
              <w:pStyle w:val="Compact"/>
              <w:jc w:val="left"/>
            </w:pPr>
            <w:r>
              <w:t xml:space="preserve">Lĩnh vực</w:t>
            </w:r>
          </w:p>
        </w:tc>
        <w:tc>
          <w:tcPr/>
          <w:p>
            <w:pPr>
              <w:pStyle w:val="Compact"/>
              <w:jc w:val="left"/>
            </w:pPr>
            <w:r>
              <w:t xml:space="preserve">Ví dụ chỉ số WBES</w:t>
            </w:r>
          </w:p>
        </w:tc>
        <w:tc>
          <w:tcPr/>
          <w:p>
            <w:pPr>
              <w:pStyle w:val="Compact"/>
              <w:jc w:val="left"/>
            </w:pPr>
            <w:r>
              <w:t xml:space="preserve">CĐ1 đo trực tiếp</w:t>
            </w:r>
          </w:p>
        </w:tc>
        <w:tc>
          <w:tcPr/>
          <w:p>
            <w:pPr>
              <w:pStyle w:val="Compact"/>
              <w:jc w:val="left"/>
            </w:pPr>
            <w:r>
              <w:t xml:space="preserve">Hàm ý CĐ2</w:t>
            </w:r>
          </w:p>
        </w:tc>
      </w:tr>
      <w:tr>
        <w:tc>
          <w:tcPr/>
          <w:p>
            <w:pPr>
              <w:pStyle w:val="Compact"/>
              <w:jc w:val="left"/>
            </w:pPr>
            <w:r>
              <w:t xml:space="preserve">(1)</w:t>
            </w:r>
          </w:p>
        </w:tc>
        <w:tc>
          <w:tcPr/>
          <w:p>
            <w:pPr>
              <w:pStyle w:val="Compact"/>
              <w:jc w:val="left"/>
            </w:pPr>
            <w:r>
              <w:t xml:space="preserve">Quy định pháp lý + Thuế</w:t>
            </w:r>
          </w:p>
        </w:tc>
        <w:tc>
          <w:tcPr/>
          <w:p>
            <w:pPr>
              <w:pStyle w:val="Compact"/>
              <w:jc w:val="left"/>
            </w:pPr>
            <w:r>
              <w:t xml:space="preserve">Thuế thời gian (giờ/năm); Cấp phép</w:t>
            </w:r>
          </w:p>
        </w:tc>
        <w:tc>
          <w:tcPr/>
          <w:p>
            <w:pPr>
              <w:pStyle w:val="Compact"/>
              <w:jc w:val="left"/>
            </w:pPr>
            <w:r>
              <w:t xml:space="preserve">(gợi ý CĐ2)</w:t>
            </w:r>
          </w:p>
        </w:tc>
        <w:tc>
          <w:tcPr/>
          <w:p>
            <w:pPr>
              <w:pStyle w:val="Compact"/>
              <w:jc w:val="left"/>
            </w:pPr>
            <w:r>
              <w:rPr>
                <w:rStyle w:val="VerbatimChar"/>
              </w:rPr>
              <w:t xml:space="preserve">time_tax_hours</w:t>
            </w:r>
            <w:r>
              <w:t xml:space="preserve">,</w:t>
            </w:r>
            <w:r>
              <w:t xml:space="preserve"> </w:t>
            </w:r>
            <w:r>
              <w:rPr>
                <w:rStyle w:val="VerbatimChar"/>
              </w:rPr>
              <w:t xml:space="preserve">tax_inspection_freq</w:t>
            </w:r>
          </w:p>
        </w:tc>
      </w:tr>
      <w:tr>
        <w:tc>
          <w:tcPr/>
          <w:p>
            <w:pPr>
              <w:pStyle w:val="Compact"/>
              <w:jc w:val="left"/>
            </w:pPr>
            <w:r>
              <w:t xml:space="preserve">(2)</w:t>
            </w:r>
          </w:p>
        </w:tc>
        <w:tc>
          <w:tcPr/>
          <w:p>
            <w:pPr>
              <w:pStyle w:val="Compact"/>
              <w:jc w:val="left"/>
            </w:pPr>
            <w:r>
              <w:t xml:space="preserve">Tài chính + Tín dụng</w:t>
            </w:r>
          </w:p>
        </w:tc>
        <w:tc>
          <w:tcPr/>
          <w:p>
            <w:pPr>
              <w:pStyle w:val="Compact"/>
              <w:jc w:val="left"/>
            </w:pPr>
            <w:r>
              <w:t xml:space="preserve">Hạn chế tín dụng; Số hóa tài chính</w:t>
            </w:r>
          </w:p>
        </w:tc>
        <w:tc>
          <w:tcPr/>
          <w:p>
            <w:pPr>
              <w:pStyle w:val="Compact"/>
              <w:jc w:val="left"/>
            </w:pPr>
            <w:r>
              <w:t xml:space="preserve">(gợi ý, Mục 2.3.5.2 rào cản #1)</w:t>
            </w:r>
          </w:p>
        </w:tc>
        <w:tc>
          <w:tcPr/>
          <w:p>
            <w:pPr>
              <w:pStyle w:val="Compact"/>
              <w:jc w:val="left"/>
            </w:pPr>
            <w:r>
              <w:rPr>
                <w:rStyle w:val="VerbatimChar"/>
              </w:rPr>
              <w:t xml:space="preserve">credit_constraint_dummy</w:t>
            </w:r>
          </w:p>
        </w:tc>
      </w:tr>
      <w:tr>
        <w:tc>
          <w:tcPr/>
          <w:p>
            <w:pPr>
              <w:pStyle w:val="Compact"/>
              <w:jc w:val="left"/>
            </w:pPr>
            <w:r>
              <w:t xml:space="preserve">(3)</w:t>
            </w:r>
          </w:p>
        </w:tc>
        <w:tc>
          <w:tcPr/>
          <w:p>
            <w:pPr>
              <w:pStyle w:val="Compact"/>
              <w:jc w:val="left"/>
            </w:pPr>
            <w:r>
              <w:t xml:space="preserve">Cơ sở hạ tầng + Khí hậu</w:t>
            </w:r>
          </w:p>
        </w:tc>
        <w:tc>
          <w:tcPr/>
          <w:p>
            <w:pPr>
              <w:pStyle w:val="Compact"/>
              <w:jc w:val="left"/>
            </w:pPr>
            <w:r>
              <w:t xml:space="preserve">Quản lý năng lượng; Mất điện</w:t>
            </w:r>
          </w:p>
        </w:tc>
        <w:tc>
          <w:tcPr/>
          <w:p>
            <w:pPr>
              <w:pStyle w:val="Compact"/>
              <w:jc w:val="left"/>
            </w:pPr>
            <w:r>
              <w:t xml:space="preserve">Mục 2.3.5.2 rào cản #4</w:t>
            </w:r>
          </w:p>
        </w:tc>
        <w:tc>
          <w:tcPr/>
          <w:p>
            <w:pPr>
              <w:pStyle w:val="Compact"/>
              <w:jc w:val="left"/>
            </w:pPr>
            <w:r>
              <w:rPr>
                <w:rStyle w:val="VerbatimChar"/>
              </w:rPr>
              <w:t xml:space="preserve">power_outage_intensity</w:t>
            </w:r>
            <w:r>
              <w:t xml:space="preserve"> </w:t>
            </w:r>
            <w:r>
              <w:t xml:space="preserve">từ c30</w:t>
            </w:r>
          </w:p>
        </w:tc>
      </w:tr>
      <w:tr>
        <w:tc>
          <w:tcPr/>
          <w:p>
            <w:pPr>
              <w:pStyle w:val="Compact"/>
              <w:jc w:val="left"/>
            </w:pPr>
            <w:r>
              <w:t xml:space="preserve">(4)</w:t>
            </w:r>
          </w:p>
        </w:tc>
        <w:tc>
          <w:tcPr/>
          <w:p>
            <w:pPr>
              <w:pStyle w:val="Compact"/>
              <w:jc w:val="left"/>
            </w:pPr>
            <w:r>
              <w:t xml:space="preserve">Thương mại + Cạnh tranh</w:t>
            </w:r>
          </w:p>
        </w:tc>
        <w:tc>
          <w:tcPr/>
          <w:p>
            <w:pPr>
              <w:pStyle w:val="Compact"/>
              <w:jc w:val="left"/>
            </w:pPr>
            <w:r>
              <w:t xml:space="preserve">Thời gian thông quan; FSTS</w:t>
            </w:r>
          </w:p>
        </w:tc>
        <w:tc>
          <w:tcPr/>
          <w:p>
            <w:pPr>
              <w:pStyle w:val="Compact"/>
              <w:jc w:val="left"/>
            </w:pPr>
            <w:r>
              <w:t xml:space="preserve">FSTS đã đo Mục 2.3.3</w:t>
            </w:r>
          </w:p>
        </w:tc>
        <w:tc>
          <w:tcPr/>
          <w:p>
            <w:pPr>
              <w:pStyle w:val="Compact"/>
              <w:jc w:val="left"/>
            </w:pPr>
            <w:r>
              <w:rPr>
                <w:rStyle w:val="VerbatimChar"/>
              </w:rPr>
              <w:t xml:space="preserve">customs_days</w:t>
            </w:r>
            <w:r>
              <w:t xml:space="preserve"> </w:t>
            </w:r>
            <w:r>
              <w:t xml:space="preserve">+</w:t>
            </w:r>
            <w:r>
              <w:t xml:space="preserve"> </w:t>
            </w:r>
            <w:r>
              <w:rPr>
                <w:rStyle w:val="VerbatimChar"/>
              </w:rPr>
              <w:t xml:space="preserve">informal_competition</w:t>
            </w:r>
          </w:p>
        </w:tc>
      </w:tr>
      <w:tr>
        <w:tc>
          <w:tcPr/>
          <w:p>
            <w:pPr>
              <w:pStyle w:val="Compact"/>
              <w:jc w:val="left"/>
            </w:pPr>
            <w:r>
              <w:t xml:space="preserve">(5)</w:t>
            </w:r>
          </w:p>
        </w:tc>
        <w:tc>
          <w:tcPr/>
          <w:p>
            <w:pPr>
              <w:pStyle w:val="Compact"/>
              <w:jc w:val="left"/>
            </w:pPr>
            <w:r>
              <w:t xml:space="preserve">Tham nhũng + Phi chính thức</w:t>
            </w:r>
          </w:p>
        </w:tc>
        <w:tc>
          <w:tcPr/>
          <w:p>
            <w:pPr>
              <w:pStyle w:val="Compact"/>
              <w:jc w:val="left"/>
            </w:pPr>
            <w:r>
              <w:t xml:space="preserve">Hối lộ (Bribery); Tham ô (Graft)</w:t>
            </w:r>
          </w:p>
        </w:tc>
        <w:tc>
          <w:tcPr/>
          <w:p>
            <w:pPr>
              <w:pStyle w:val="Compact"/>
              <w:jc w:val="left"/>
            </w:pPr>
            <w:r>
              <w:t xml:space="preserve">Mục 2.3.6.2</w:t>
            </w:r>
          </w:p>
        </w:tc>
        <w:tc>
          <w:tcPr/>
          <w:p>
            <w:pPr>
              <w:pStyle w:val="Compact"/>
              <w:jc w:val="left"/>
            </w:pPr>
            <w:r>
              <w:rPr>
                <w:rStyle w:val="VerbatimChar"/>
              </w:rPr>
              <w:t xml:space="preserve">bribery_incidence_pct</w:t>
            </w:r>
          </w:p>
        </w:tc>
      </w:tr>
    </w:tbl>
    <w:bookmarkEnd w:id="45"/>
    <w:bookmarkStart w:id="46" w:name="X9df516e2ada8dd6f1a571e4ad9b53ee8766fff4"/>
    <w:p>
      <w:pPr>
        <w:pStyle w:val="Heading4"/>
      </w:pPr>
      <w:r>
        <w:t xml:space="preserve">2.3.4.2 Thực trạng đổi mới sáng tạo và áp dụng số</w:t>
      </w:r>
    </w:p>
    <w:p>
      <w:pPr>
        <w:pStyle w:val="FirstParagraph"/>
      </w:pPr>
      <w:r>
        <w:rPr>
          <w:bCs/>
          <w:b/>
        </w:rPr>
        <w:t xml:space="preserve">Bảng 2.3.4.1</w:t>
      </w:r>
      <w:r>
        <w:t xml:space="preserve">.</w:t>
      </w:r>
      <w:r>
        <w:t xml:space="preserve"> </w:t>
      </w:r>
      <w:r>
        <w:rPr>
          <w:iCs/>
          <w:i/>
        </w:rPr>
        <w:t xml:space="preserve">Đổi mới sáng tạo và áp dụng số (%).</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Phân nhóm con</w:t>
            </w:r>
          </w:p>
        </w:tc>
        <w:tc>
          <w:tcPr/>
          <w:p>
            <w:pPr>
              <w:pStyle w:val="Compact"/>
              <w:jc w:val="left"/>
            </w:pPr>
            <w:r>
              <w:t xml:space="preserve">Sản phẩm mới</w:t>
            </w:r>
          </w:p>
        </w:tc>
        <w:tc>
          <w:tcPr/>
          <w:p>
            <w:pPr>
              <w:pStyle w:val="Compact"/>
              <w:jc w:val="left"/>
            </w:pPr>
            <w:r>
              <w:t xml:space="preserve">Quy trình mới</w:t>
            </w:r>
          </w:p>
        </w:tc>
        <w:tc>
          <w:tcPr/>
          <w:p>
            <w:pPr>
              <w:pStyle w:val="Compact"/>
              <w:jc w:val="left"/>
            </w:pPr>
            <w:r>
              <w:t xml:space="preserve">R&amp;D</w:t>
            </w:r>
          </w:p>
        </w:tc>
        <w:tc>
          <w:tcPr/>
          <w:p>
            <w:pPr>
              <w:pStyle w:val="Compact"/>
              <w:jc w:val="left"/>
            </w:pPr>
            <w:r>
              <w:t xml:space="preserve">ISO</w:t>
            </w:r>
          </w:p>
        </w:tc>
        <w:tc>
          <w:tcPr/>
          <w:p>
            <w:pPr>
              <w:pStyle w:val="Compact"/>
              <w:jc w:val="left"/>
            </w:pPr>
            <w:r>
              <w:t xml:space="preserve">Website</w:t>
            </w:r>
          </w:p>
        </w:tc>
      </w:tr>
      <w:tr>
        <w:tc>
          <w:tcPr/>
          <w:p>
            <w:pPr>
              <w:pStyle w:val="Compact"/>
              <w:jc w:val="left"/>
            </w:pPr>
            <w:r>
              <w:t xml:space="preserve">Advanced</w:t>
            </w:r>
          </w:p>
        </w:tc>
        <w:tc>
          <w:tcPr/>
          <w:p>
            <w:pPr>
              <w:pStyle w:val="Compact"/>
              <w:jc w:val="left"/>
            </w:pPr>
            <w:r>
              <w:t xml:space="preserve">22,3</w:t>
            </w:r>
          </w:p>
        </w:tc>
        <w:tc>
          <w:tcPr/>
          <w:p>
            <w:pPr>
              <w:pStyle w:val="Compact"/>
              <w:jc w:val="left"/>
            </w:pPr>
            <w:r>
              <w:t xml:space="preserve">52,3</w:t>
            </w:r>
          </w:p>
        </w:tc>
        <w:tc>
          <w:tcPr/>
          <w:p>
            <w:pPr>
              <w:pStyle w:val="Compact"/>
              <w:jc w:val="left"/>
            </w:pPr>
            <w:r>
              <w:t xml:space="preserve">16,7</w:t>
            </w:r>
          </w:p>
        </w:tc>
        <w:tc>
          <w:tcPr/>
          <w:p>
            <w:pPr>
              <w:pStyle w:val="Compact"/>
              <w:jc w:val="left"/>
            </w:pPr>
            <w:r>
              <w:t xml:space="preserve">29,9</w:t>
            </w:r>
          </w:p>
        </w:tc>
        <w:tc>
          <w:tcPr/>
          <w:p>
            <w:pPr>
              <w:pStyle w:val="Compact"/>
              <w:jc w:val="left"/>
            </w:pPr>
            <w:r>
              <w:t xml:space="preserve">59,3</w:t>
            </w:r>
          </w:p>
        </w:tc>
      </w:tr>
      <w:tr>
        <w:tc>
          <w:tcPr/>
          <w:p>
            <w:pPr>
              <w:pStyle w:val="Compact"/>
              <w:jc w:val="left"/>
            </w:pPr>
            <w:r>
              <w:t xml:space="preserve">Upper-middle</w:t>
            </w:r>
          </w:p>
        </w:tc>
        <w:tc>
          <w:tcPr/>
          <w:p>
            <w:pPr>
              <w:pStyle w:val="Compact"/>
              <w:jc w:val="left"/>
            </w:pPr>
            <w:r>
              <w:t xml:space="preserve">26,7</w:t>
            </w:r>
          </w:p>
        </w:tc>
        <w:tc>
          <w:tcPr/>
          <w:p>
            <w:pPr>
              <w:pStyle w:val="Compact"/>
              <w:jc w:val="left"/>
            </w:pPr>
            <w:r>
              <w:t xml:space="preserve">71,7</w:t>
            </w:r>
          </w:p>
        </w:tc>
        <w:tc>
          <w:tcPr/>
          <w:p>
            <w:pPr>
              <w:pStyle w:val="Compact"/>
              <w:jc w:val="left"/>
            </w:pPr>
            <w:r>
              <w:t xml:space="preserve">21,0</w:t>
            </w:r>
          </w:p>
        </w:tc>
        <w:tc>
          <w:tcPr/>
          <w:p>
            <w:pPr>
              <w:pStyle w:val="Compact"/>
              <w:jc w:val="left"/>
            </w:pPr>
            <w:r>
              <w:t xml:space="preserve">31,4</w:t>
            </w:r>
          </w:p>
        </w:tc>
        <w:tc>
          <w:tcPr/>
          <w:p>
            <w:pPr>
              <w:pStyle w:val="Compact"/>
              <w:jc w:val="left"/>
            </w:pPr>
            <w:r>
              <w:t xml:space="preserve">56,9</w:t>
            </w:r>
          </w:p>
        </w:tc>
      </w:tr>
      <w:tr>
        <w:tc>
          <w:tcPr/>
          <w:p>
            <w:pPr>
              <w:pStyle w:val="Compact"/>
              <w:jc w:val="left"/>
            </w:pPr>
            <w:r>
              <w:t xml:space="preserve">Emerging</w:t>
            </w:r>
          </w:p>
        </w:tc>
        <w:tc>
          <w:tcPr/>
          <w:p>
            <w:pPr>
              <w:pStyle w:val="Compact"/>
              <w:jc w:val="left"/>
            </w:pPr>
            <w:r>
              <w:t xml:space="preserve">17,5</w:t>
            </w:r>
          </w:p>
        </w:tc>
        <w:tc>
          <w:tcPr/>
          <w:p>
            <w:pPr>
              <w:pStyle w:val="Compact"/>
              <w:jc w:val="left"/>
            </w:pPr>
            <w:r>
              <w:t xml:space="preserve">65,2</w:t>
            </w:r>
          </w:p>
        </w:tc>
        <w:tc>
          <w:tcPr/>
          <w:p>
            <w:pPr>
              <w:pStyle w:val="Compact"/>
              <w:jc w:val="left"/>
            </w:pPr>
            <w:r>
              <w:t xml:space="preserve">16,4</w:t>
            </w:r>
          </w:p>
        </w:tc>
        <w:tc>
          <w:tcPr/>
          <w:p>
            <w:pPr>
              <w:pStyle w:val="Compact"/>
              <w:jc w:val="left"/>
            </w:pPr>
            <w:r>
              <w:t xml:space="preserve">24,9</w:t>
            </w:r>
          </w:p>
        </w:tc>
        <w:tc>
          <w:tcPr/>
          <w:p>
            <w:pPr>
              <w:pStyle w:val="Compact"/>
              <w:jc w:val="left"/>
            </w:pPr>
            <w:r>
              <w:t xml:space="preserve">49,2</w:t>
            </w:r>
          </w:p>
        </w:tc>
      </w:tr>
      <w:tr>
        <w:tc>
          <w:tcPr/>
          <w:p>
            <w:pPr>
              <w:pStyle w:val="Compact"/>
              <w:jc w:val="left"/>
            </w:pPr>
            <w:r>
              <w:t xml:space="preserve">Frontier</w:t>
            </w:r>
          </w:p>
        </w:tc>
        <w:tc>
          <w:tcPr/>
          <w:p>
            <w:pPr>
              <w:pStyle w:val="Compact"/>
              <w:jc w:val="left"/>
            </w:pPr>
            <w:r>
              <w:t xml:space="preserve">23,1</w:t>
            </w:r>
          </w:p>
        </w:tc>
        <w:tc>
          <w:tcPr/>
          <w:p>
            <w:pPr>
              <w:pStyle w:val="Compact"/>
              <w:jc w:val="left"/>
            </w:pPr>
            <w:r>
              <w:t xml:space="preserve">68,9</w:t>
            </w:r>
          </w:p>
        </w:tc>
        <w:tc>
          <w:tcPr/>
          <w:p>
            <w:pPr>
              <w:pStyle w:val="Compact"/>
              <w:jc w:val="left"/>
            </w:pPr>
            <w:r>
              <w:t xml:space="preserve">14,2</w:t>
            </w:r>
          </w:p>
        </w:tc>
        <w:tc>
          <w:tcPr/>
          <w:p>
            <w:pPr>
              <w:pStyle w:val="Compact"/>
              <w:jc w:val="left"/>
            </w:pPr>
            <w:r>
              <w:t xml:space="preserve">20,7</w:t>
            </w:r>
          </w:p>
        </w:tc>
        <w:tc>
          <w:tcPr/>
          <w:p>
            <w:pPr>
              <w:pStyle w:val="Compact"/>
              <w:jc w:val="left"/>
            </w:pPr>
            <w:r>
              <w:t xml:space="preserve">38,0</w:t>
            </w:r>
          </w:p>
        </w:tc>
      </w:tr>
      <w:tr>
        <w:tc>
          <w:tcPr/>
          <w:p>
            <w:pPr>
              <w:pStyle w:val="Compact"/>
              <w:jc w:val="left"/>
            </w:pPr>
            <w:r>
              <w:t xml:space="preserve">SIDS Thái Bình Dương</w:t>
            </w:r>
          </w:p>
        </w:tc>
        <w:tc>
          <w:tcPr/>
          <w:p>
            <w:pPr>
              <w:pStyle w:val="Compact"/>
              <w:jc w:val="left"/>
            </w:pPr>
            <w:r>
              <w:rPr>
                <w:bCs/>
                <w:b/>
              </w:rPr>
              <w:t xml:space="preserve">41,5</w:t>
            </w:r>
          </w:p>
        </w:tc>
        <w:tc>
          <w:tcPr/>
          <w:p>
            <w:pPr>
              <w:pStyle w:val="Compact"/>
              <w:jc w:val="left"/>
            </w:pPr>
            <w:r>
              <w:t xml:space="preserve">65,1</w:t>
            </w:r>
          </w:p>
        </w:tc>
        <w:tc>
          <w:tcPr/>
          <w:p>
            <w:pPr>
              <w:pStyle w:val="Compact"/>
              <w:jc w:val="left"/>
            </w:pPr>
            <w:r>
              <w:t xml:space="preserve">11,8</w:t>
            </w:r>
          </w:p>
        </w:tc>
        <w:tc>
          <w:tcPr/>
          <w:p>
            <w:pPr>
              <w:pStyle w:val="Compact"/>
              <w:jc w:val="left"/>
            </w:pPr>
            <w:r>
              <w:t xml:space="preserve">16,5</w:t>
            </w:r>
          </w:p>
        </w:tc>
        <w:tc>
          <w:tcPr/>
          <w:p>
            <w:pPr>
              <w:pStyle w:val="Compact"/>
              <w:jc w:val="left"/>
            </w:pPr>
            <w:r>
              <w:rPr>
                <w:bCs/>
                <w:b/>
              </w:rPr>
              <w:t xml:space="preserve">58,9</w:t>
            </w:r>
          </w:p>
        </w:tc>
      </w:tr>
    </w:tbl>
    <w:p>
      <w:pPr>
        <w:pStyle w:val="BodyText"/>
      </w:pPr>
      <w:r>
        <w:t xml:space="preserve">SIDS thể hiện pattern</w:t>
      </w:r>
      <w:r>
        <w:t xml:space="preserve"> </w:t>
      </w:r>
      <w:r>
        <w:rPr>
          <w:bCs/>
          <w:b/>
        </w:rPr>
        <w:t xml:space="preserve">thích nghi và nhảy vọt số</w:t>
      </w:r>
      <w:r>
        <w:t xml:space="preserve"> </w:t>
      </w:r>
      <w:r>
        <w:t xml:space="preserve">đáng chú ý: tỷ lệ đổi mới sản phẩm cao nhất (41,5%) phản ánh đổi mới bằng nguồn lực hạn chế, sáng tạo không chính thức để bù đắp cho thiếu hụt nguồn lực; website 58,9% vượt cả nhóm Emerging dù GNI thấp hơn đáng kể. Phân tách rõ TCI so với DAI, kế thừa Đỗ &amp; Phan (2026, VEFR).</w:t>
      </w:r>
    </w:p>
    <w:bookmarkEnd w:id="46"/>
    <w:bookmarkStart w:id="47" w:name="Xf9def7853091997378673ae7720d7322a439a73"/>
    <w:p>
      <w:pPr>
        <w:pStyle w:val="Heading4"/>
      </w:pPr>
      <w:r>
        <w:t xml:space="preserve">2.3.4.3 Tái định hình Chỉ số áp dụng số, Tier-1 Sự hiện diện số cơ bản</w:t>
      </w:r>
    </w:p>
    <w:p>
      <w:pPr>
        <w:pStyle w:val="FirstParagraph"/>
      </w:pPr>
      <w:r>
        <w:t xml:space="preserve">Spec 1 (toàn bộ 2009-2025) dùng biến nhị phân duy nhất (website có/không).</w:t>
      </w:r>
      <w:r>
        <w:t xml:space="preserve"> </w:t>
      </w:r>
      <w:r>
        <w:rPr>
          <w:bCs/>
          <w:b/>
        </w:rPr>
        <w:t xml:space="preserve">Hệ quả phân tích đáng chú ý</w:t>
      </w:r>
      <w:r>
        <w:t xml:space="preserve">: hệ số -0,129 cho DAI ở Advanced trong Spec 1 gợi ý</w:t>
      </w:r>
      <w:r>
        <w:t xml:space="preserve"> </w:t>
      </w:r>
      <w:r>
        <w:t xml:space="preserve">“</w:t>
      </w:r>
      <w:r>
        <w:t xml:space="preserve">số hóa làm giảm năng suất ở Singapore/Hàn Quốc</w:t>
      </w:r>
      <w:r>
        <w:t xml:space="preserve">”</w:t>
      </w:r>
      <w:r>
        <w:t xml:space="preserve">, đây là</w:t>
      </w:r>
      <w:r>
        <w:t xml:space="preserve"> </w:t>
      </w:r>
      <w:r>
        <w:rPr>
          <w:bCs/>
          <w:b/>
        </w:rPr>
        <w:t xml:space="preserve">ảo ảnh thống kê</w:t>
      </w:r>
      <w:r>
        <w:t xml:space="preserve"> </w:t>
      </w:r>
      <w:r>
        <w:t xml:space="preserve">do đo lường sơ sài ở bối cảnh đã bão hòa.</w:t>
      </w:r>
    </w:p>
    <w:p>
      <w:pPr>
        <w:pStyle w:val="BodyText"/>
      </w:pPr>
      <w:r>
        <w:rPr>
          <w:bCs/>
          <w:b/>
        </w:rPr>
        <w:t xml:space="preserve">Kiểm định loại trừ ICT</w:t>
      </w:r>
      <w:r>
        <w:t xml:space="preserve">: Khi loại bỏ các doanh nghiệp ICT (ISIC J 58-63) khỏi phân nhóm Advanced innovation-driven, hệ số âm DAI (-0,129)</w:t>
      </w:r>
      <w:r>
        <w:t xml:space="preserve"> </w:t>
      </w:r>
      <w:r>
        <w:rPr>
          <w:bCs/>
          <w:b/>
        </w:rPr>
        <w:t xml:space="preserve">biến mất</w:t>
      </w:r>
      <w:r>
        <w:t xml:space="preserve">, cung cấp bằng chứng cho</w:t>
      </w:r>
      <w:r>
        <w:t xml:space="preserve"> </w:t>
      </w:r>
      <w:r>
        <w:rPr>
          <w:bCs/>
          <w:b/>
        </w:rPr>
        <w:t xml:space="preserve">bão hòa Tier-1 ở các nước tiên tiến</w:t>
      </w:r>
      <w:r>
        <w:t xml:space="preserve">, website không còn phân biệt năng suất vì hầu hết đã có website từ lâu. Do đó biến Spec 1 được đổi tên chính xác hơn thành</w:t>
      </w:r>
      <w:r>
        <w:t xml:space="preserve"> </w:t>
      </w:r>
      <w:r>
        <w:rPr>
          <w:bCs/>
          <w:b/>
        </w:rPr>
        <w:t xml:space="preserve">“</w:t>
      </w:r>
      <w:r>
        <w:rPr>
          <w:bCs/>
          <w:b/>
        </w:rPr>
        <w:t xml:space="preserve">Sự hiện diện số cơ bản (Tier-1)</w:t>
      </w:r>
      <w:r>
        <w:rPr>
          <w:bCs/>
          <w:b/>
        </w:rPr>
        <w:t xml:space="preserve">”</w:t>
      </w:r>
      <w:r>
        <w:t xml:space="preserve">, phạm vi khiêm tốn và phản ánh đúng thực tế đo lường.</w:t>
      </w:r>
    </w:p>
    <w:p>
      <w:r>
        <w:pict>
          <v:rect style="width:0;height:1.5pt" o:hralign="center" o:hrstd="t" o:hr="t"/>
        </w:pict>
      </w:r>
    </w:p>
    <w:bookmarkEnd w:id="47"/>
    <w:bookmarkEnd w:id="48"/>
    <w:bookmarkStart w:id="51" w:name="cấu-trúc-doanh-nghiệp"/>
    <w:p>
      <w:pPr>
        <w:pStyle w:val="Heading3"/>
      </w:pPr>
      <w:r>
        <w:t xml:space="preserve">2.3.5 Cấu trúc doanh nghiệp</w:t>
      </w:r>
    </w:p>
    <w:bookmarkStart w:id="49" w:name="phân-bố-quy-mô-và-sở-hữu"/>
    <w:p>
      <w:pPr>
        <w:pStyle w:val="Heading4"/>
      </w:pPr>
      <w:r>
        <w:t xml:space="preserve">2.3.5.1 Phân bố quy mô và sở hữu</w:t>
      </w:r>
    </w:p>
    <w:p>
      <w:pPr>
        <w:pStyle w:val="FirstParagraph"/>
      </w:pPr>
      <w:r>
        <w:rPr>
          <w:bCs/>
          <w:b/>
        </w:rPr>
        <w:t xml:space="preserve">Bảng 2.3.5.1</w:t>
      </w:r>
      <w:r>
        <w:t xml:space="preserve">.</w:t>
      </w:r>
      <w:r>
        <w:t xml:space="preserve"> </w:t>
      </w:r>
      <w:r>
        <w:rPr>
          <w:iCs/>
          <w:i/>
        </w:rPr>
        <w:t xml:space="preserve">Cấu trúc doanh nghiệp theo phân nhóm con (%).</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Phân nhóm con</w:t>
            </w:r>
          </w:p>
        </w:tc>
        <w:tc>
          <w:tcPr/>
          <w:p>
            <w:pPr>
              <w:pStyle w:val="Compact"/>
              <w:jc w:val="left"/>
            </w:pPr>
            <w:r>
              <w:t xml:space="preserve">SME</w:t>
            </w:r>
          </w:p>
        </w:tc>
        <w:tc>
          <w:tcPr/>
          <w:p>
            <w:pPr>
              <w:pStyle w:val="Compact"/>
              <w:jc w:val="left"/>
            </w:pPr>
            <w:r>
              <w:t xml:space="preserve">Doanh nghiệp xuất khẩu</w:t>
            </w:r>
          </w:p>
        </w:tc>
        <w:tc>
          <w:tcPr/>
          <w:p>
            <w:pPr>
              <w:pStyle w:val="Compact"/>
              <w:jc w:val="left"/>
            </w:pPr>
            <w:r>
              <w:t xml:space="preserve">FDI $</w:t>
            </w:r>
            <w:r>
              <w:t xml:space="preserve">$10%</w:t>
            </w:r>
          </w:p>
        </w:tc>
      </w:tr>
      <w:tr>
        <w:tc>
          <w:tcPr/>
          <w:p>
            <w:pPr>
              <w:pStyle w:val="Compact"/>
              <w:jc w:val="left"/>
            </w:pPr>
            <w:r>
              <w:t xml:space="preserve">Advanced</w:t>
            </w:r>
          </w:p>
        </w:tc>
        <w:tc>
          <w:tcPr/>
          <w:p>
            <w:pPr>
              <w:pStyle w:val="Compact"/>
              <w:jc w:val="left"/>
            </w:pPr>
            <w:r>
              <w:t xml:space="preserve">79,1</w:t>
            </w:r>
          </w:p>
        </w:tc>
        <w:tc>
          <w:tcPr/>
          <w:p>
            <w:pPr>
              <w:pStyle w:val="Compact"/>
              <w:jc w:val="left"/>
            </w:pPr>
            <w:r>
              <w:t xml:space="preserve">23,0</w:t>
            </w:r>
          </w:p>
        </w:tc>
        <w:tc>
          <w:tcPr/>
          <w:p>
            <w:pPr>
              <w:pStyle w:val="Compact"/>
              <w:jc w:val="left"/>
            </w:pPr>
            <w:r>
              <w:t xml:space="preserve">11,1</w:t>
            </w:r>
          </w:p>
        </w:tc>
      </w:tr>
      <w:tr>
        <w:tc>
          <w:tcPr/>
          <w:p>
            <w:pPr>
              <w:pStyle w:val="Compact"/>
              <w:jc w:val="left"/>
            </w:pPr>
            <w:r>
              <w:t xml:space="preserve">Upper-middle</w:t>
            </w:r>
          </w:p>
        </w:tc>
        <w:tc>
          <w:tcPr/>
          <w:p>
            <w:pPr>
              <w:pStyle w:val="Compact"/>
              <w:jc w:val="left"/>
            </w:pPr>
            <w:r>
              <w:t xml:space="preserve">76,2</w:t>
            </w:r>
          </w:p>
        </w:tc>
        <w:tc>
          <w:tcPr/>
          <w:p>
            <w:pPr>
              <w:pStyle w:val="Compact"/>
              <w:jc w:val="left"/>
            </w:pPr>
            <w:r>
              <w:t xml:space="preserve">21,7</w:t>
            </w:r>
          </w:p>
        </w:tc>
        <w:tc>
          <w:tcPr/>
          <w:p>
            <w:pPr>
              <w:pStyle w:val="Compact"/>
              <w:jc w:val="left"/>
            </w:pPr>
            <w:r>
              <w:t xml:space="preserve">8,4</w:t>
            </w:r>
          </w:p>
        </w:tc>
      </w:tr>
      <w:tr>
        <w:tc>
          <w:tcPr/>
          <w:p>
            <w:pPr>
              <w:pStyle w:val="Compact"/>
              <w:jc w:val="left"/>
            </w:pPr>
            <w:r>
              <w:t xml:space="preserve">Emerging</w:t>
            </w:r>
          </w:p>
        </w:tc>
        <w:tc>
          <w:tcPr/>
          <w:p>
            <w:pPr>
              <w:pStyle w:val="Compact"/>
              <w:jc w:val="left"/>
            </w:pPr>
            <w:r>
              <w:t xml:space="preserve">74,4</w:t>
            </w:r>
          </w:p>
        </w:tc>
        <w:tc>
          <w:tcPr/>
          <w:p>
            <w:pPr>
              <w:pStyle w:val="Compact"/>
              <w:jc w:val="left"/>
            </w:pPr>
            <w:r>
              <w:t xml:space="preserve">15,5</w:t>
            </w:r>
          </w:p>
        </w:tc>
        <w:tc>
          <w:tcPr/>
          <w:p>
            <w:pPr>
              <w:pStyle w:val="Compact"/>
              <w:jc w:val="left"/>
            </w:pPr>
            <w:r>
              <w:t xml:space="preserve">4,7</w:t>
            </w:r>
          </w:p>
        </w:tc>
      </w:tr>
      <w:tr>
        <w:tc>
          <w:tcPr/>
          <w:p>
            <w:pPr>
              <w:pStyle w:val="Compact"/>
              <w:jc w:val="left"/>
            </w:pPr>
            <w:r>
              <w:t xml:space="preserve">Frontier</w:t>
            </w:r>
          </w:p>
        </w:tc>
        <w:tc>
          <w:tcPr/>
          <w:p>
            <w:pPr>
              <w:pStyle w:val="Compact"/>
              <w:jc w:val="left"/>
            </w:pPr>
            <w:r>
              <w:t xml:space="preserve">85,0</w:t>
            </w:r>
          </w:p>
        </w:tc>
        <w:tc>
          <w:tcPr/>
          <w:p>
            <w:pPr>
              <w:pStyle w:val="Compact"/>
              <w:jc w:val="left"/>
            </w:pPr>
            <w:r>
              <w:t xml:space="preserve">16,5</w:t>
            </w:r>
          </w:p>
        </w:tc>
        <w:tc>
          <w:tcPr/>
          <w:p>
            <w:pPr>
              <w:pStyle w:val="Compact"/>
              <w:jc w:val="left"/>
            </w:pPr>
            <w:r>
              <w:t xml:space="preserve">5,9</w:t>
            </w:r>
          </w:p>
        </w:tc>
      </w:tr>
      <w:tr>
        <w:tc>
          <w:tcPr/>
          <w:p>
            <w:pPr>
              <w:pStyle w:val="Compact"/>
              <w:jc w:val="left"/>
            </w:pPr>
            <w:r>
              <w:t xml:space="preserve">SIDS Thái Bình Dương</w:t>
            </w:r>
          </w:p>
        </w:tc>
        <w:tc>
          <w:tcPr/>
          <w:p>
            <w:pPr>
              <w:pStyle w:val="Compact"/>
              <w:jc w:val="left"/>
            </w:pPr>
            <w:r>
              <w:rPr>
                <w:bCs/>
                <w:b/>
              </w:rPr>
              <w:t xml:space="preserve">88,5</w:t>
            </w:r>
          </w:p>
        </w:tc>
        <w:tc>
          <w:tcPr/>
          <w:p>
            <w:pPr>
              <w:pStyle w:val="Compact"/>
              <w:jc w:val="left"/>
            </w:pPr>
            <w:r>
              <w:t xml:space="preserve">16,3</w:t>
            </w:r>
          </w:p>
        </w:tc>
        <w:tc>
          <w:tcPr/>
          <w:p>
            <w:pPr>
              <w:pStyle w:val="Compact"/>
              <w:jc w:val="left"/>
            </w:pPr>
            <w:r>
              <w:rPr>
                <w:bCs/>
                <w:b/>
              </w:rPr>
              <w:t xml:space="preserve">23,5</w:t>
            </w:r>
          </w:p>
        </w:tc>
      </w:tr>
    </w:tbl>
    <w:p>
      <w:pPr>
        <w:pStyle w:val="BodyText"/>
      </w:pPr>
      <w:r>
        <w:rPr>
          <w:iCs/>
          <w:i/>
        </w:rPr>
        <w:t xml:space="preserve">Hình 2.3.5.1. Stacked bar chart: SIDS Pacific có tỷ lệ SME cao nhất (88,5%), Frontier kế tiếp (85,0%), Advanced thấp nhất (79,1%).</w:t>
      </w:r>
    </w:p>
    <w:p>
      <w:pPr>
        <w:pStyle w:val="BodyText"/>
      </w:pPr>
      <w:r>
        <w:t xml:space="preserve">Tỷ lệ FDI có dạng chữ U với cực tiểu ở Emerging (4,7%). SIDS có FDI cao nhất (23,5%) do du lịch và viễn thông được dẫn dắt bởi doanh nghiệp đa quốc gia. Hai mô hình FDI hoàn toàn khác nhau: (i) MNE hub tại Advanced (Singapore FDI 31,5%, doanh nghiệp đa quốc gia chọn Singapore làm trung tâm khu vực); (ii) du lịch/viễn thông tại SIDS (FDI nhắm vào khu vực không cạnh tranh với lao động địa phương).</w:t>
      </w:r>
    </w:p>
    <w:bookmarkEnd w:id="49"/>
    <w:bookmarkStart w:id="50" w:name="X82630701712868d6b2736fccbaf4389d2963e46"/>
    <w:p>
      <w:pPr>
        <w:pStyle w:val="Heading4"/>
      </w:pPr>
      <w:r>
        <w:t xml:space="preserve">2.3.5.2 Bốn rào cản hàng đầu của khu vực tư nhân Á-Thái</w:t>
      </w:r>
    </w:p>
    <w:p>
      <w:pPr>
        <w:pStyle w:val="FirstParagraph"/>
      </w:pPr>
      <w:r>
        <w:rPr>
          <w:bCs/>
          <w:b/>
        </w:rPr>
        <w:t xml:space="preserve">Bảng 2.3.5.2</w:t>
      </w:r>
      <w:r>
        <w:t xml:space="preserve">.</w:t>
      </w:r>
      <w:r>
        <w:t xml:space="preserve"> </w:t>
      </w:r>
      <w:r>
        <w:rPr>
          <w:iCs/>
          <w:i/>
        </w:rPr>
        <w:t xml:space="preserve">Bốn rào cản hàng đầu Asia-Pacific WBES, phân tầng theo phân nhóm con thể chế.</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w:t>
            </w:r>
          </w:p>
        </w:tc>
        <w:tc>
          <w:tcPr/>
          <w:p>
            <w:pPr>
              <w:pStyle w:val="Compact"/>
              <w:jc w:val="left"/>
            </w:pPr>
            <w:r>
              <w:t xml:space="preserve">Rào cản</w:t>
            </w:r>
          </w:p>
        </w:tc>
        <w:tc>
          <w:tcPr/>
          <w:p>
            <w:pPr>
              <w:pStyle w:val="Compact"/>
              <w:jc w:val="left"/>
            </w:pPr>
            <w:r>
              <w:t xml:space="preserve">Tên chuẩn WB</w:t>
            </w:r>
          </w:p>
        </w:tc>
        <w:tc>
          <w:tcPr/>
          <w:p>
            <w:pPr>
              <w:pStyle w:val="Compact"/>
              <w:jc w:val="left"/>
            </w:pPr>
            <w:r>
              <w:t xml:space="preserve">Cường độ Frontier</w:t>
            </w:r>
          </w:p>
        </w:tc>
        <w:tc>
          <w:tcPr/>
          <w:p>
            <w:pPr>
              <w:pStyle w:val="Compact"/>
              <w:jc w:val="left"/>
            </w:pPr>
            <w:r>
              <w:t xml:space="preserve">Cường độ Emerging</w:t>
            </w:r>
          </w:p>
        </w:tc>
        <w:tc>
          <w:tcPr/>
          <w:p>
            <w:pPr>
              <w:pStyle w:val="Compact"/>
              <w:jc w:val="left"/>
            </w:pPr>
            <w:r>
              <w:t xml:space="preserve">Cường độ Advanced</w:t>
            </w:r>
          </w:p>
        </w:tc>
        <w:tc>
          <w:tcPr/>
          <w:p>
            <w:pPr>
              <w:pStyle w:val="Compact"/>
              <w:jc w:val="left"/>
            </w:pPr>
            <w:r>
              <w:t xml:space="preserve">Lý thuyết liên kết</w:t>
            </w:r>
          </w:p>
        </w:tc>
      </w:tr>
      <w:tr>
        <w:tc>
          <w:tcPr/>
          <w:p>
            <w:pPr>
              <w:pStyle w:val="Compact"/>
              <w:jc w:val="left"/>
            </w:pPr>
            <w:r>
              <w:t xml:space="preserve">(1)</w:t>
            </w:r>
          </w:p>
        </w:tc>
        <w:tc>
          <w:tcPr/>
          <w:p>
            <w:pPr>
              <w:pStyle w:val="Compact"/>
              <w:jc w:val="left"/>
            </w:pPr>
            <w:r>
              <w:rPr>
                <w:bCs/>
                <w:b/>
              </w:rPr>
              <w:t xml:space="preserve">Tiếp cận tài chính</w:t>
            </w:r>
          </w:p>
        </w:tc>
        <w:tc>
          <w:tcPr/>
          <w:p>
            <w:pPr>
              <w:pStyle w:val="Compact"/>
              <w:jc w:val="left"/>
            </w:pPr>
            <w:r>
              <w:t xml:space="preserve">Credit constraint</w:t>
            </w:r>
          </w:p>
        </w:tc>
        <w:tc>
          <w:tcPr/>
          <w:p>
            <w:pPr>
              <w:pStyle w:val="Compact"/>
              <w:jc w:val="left"/>
            </w:pPr>
            <w:r>
              <w:t xml:space="preserve">Cao</w:t>
            </w:r>
          </w:p>
        </w:tc>
        <w:tc>
          <w:tcPr/>
          <w:p>
            <w:pPr>
              <w:pStyle w:val="Compact"/>
              <w:jc w:val="left"/>
            </w:pPr>
            <w:r>
              <w:t xml:space="preserve">Cao</w:t>
            </w:r>
          </w:p>
        </w:tc>
        <w:tc>
          <w:tcPr/>
          <w:p>
            <w:pPr>
              <w:pStyle w:val="Compact"/>
              <w:jc w:val="left"/>
            </w:pPr>
            <w:r>
              <w:t xml:space="preserve">Thấp</w:t>
            </w:r>
          </w:p>
        </w:tc>
        <w:tc>
          <w:tcPr/>
          <w:p>
            <w:pPr>
              <w:pStyle w:val="Compact"/>
              <w:jc w:val="left"/>
            </w:pPr>
            <w:r>
              <w:t xml:space="preserve">Khanna &amp; Palepu (2010), voids thể chế</w:t>
            </w:r>
          </w:p>
        </w:tc>
      </w:tr>
      <w:tr>
        <w:tc>
          <w:tcPr/>
          <w:p>
            <w:pPr>
              <w:pStyle w:val="Compact"/>
              <w:jc w:val="left"/>
            </w:pPr>
            <w:r>
              <w:t xml:space="preserve">(2)</w:t>
            </w:r>
          </w:p>
        </w:tc>
        <w:tc>
          <w:tcPr/>
          <w:p>
            <w:pPr>
              <w:pStyle w:val="Compact"/>
              <w:jc w:val="left"/>
            </w:pPr>
            <w:r>
              <w:rPr>
                <w:bCs/>
                <w:b/>
              </w:rPr>
              <w:t xml:space="preserve">Lực lượng lao động thiếu kỹ năng</w:t>
            </w:r>
          </w:p>
        </w:tc>
        <w:tc>
          <w:tcPr/>
          <w:p>
            <w:pPr>
              <w:pStyle w:val="Compact"/>
              <w:jc w:val="left"/>
            </w:pPr>
            <w:r>
              <w:t xml:space="preserve">Skilled labor shortage</w:t>
            </w:r>
          </w:p>
        </w:tc>
        <w:tc>
          <w:tcPr/>
          <w:p>
            <w:pPr>
              <w:pStyle w:val="Compact"/>
              <w:jc w:val="left"/>
            </w:pPr>
            <w:r>
              <w:t xml:space="preserve">Cao</w:t>
            </w:r>
          </w:p>
        </w:tc>
        <w:tc>
          <w:tcPr/>
          <w:p>
            <w:pPr>
              <w:pStyle w:val="Compact"/>
              <w:jc w:val="left"/>
            </w:pPr>
            <w:r>
              <w:t xml:space="preserve">Trung bình</w:t>
            </w:r>
          </w:p>
        </w:tc>
        <w:tc>
          <w:tcPr/>
          <w:p>
            <w:pPr>
              <w:pStyle w:val="Compact"/>
              <w:jc w:val="left"/>
            </w:pPr>
            <w:r>
              <w:t xml:space="preserve">Thấp</w:t>
            </w:r>
          </w:p>
        </w:tc>
        <w:tc>
          <w:tcPr/>
          <w:p>
            <w:pPr>
              <w:pStyle w:val="Compact"/>
              <w:jc w:val="left"/>
            </w:pPr>
            <w:r>
              <w:t xml:space="preserve">Cohen &amp; Levinthal (1990), năng lực hấp thụ</w:t>
            </w:r>
          </w:p>
        </w:tc>
      </w:tr>
      <w:tr>
        <w:tc>
          <w:tcPr/>
          <w:p>
            <w:pPr>
              <w:pStyle w:val="Compact"/>
              <w:jc w:val="left"/>
            </w:pPr>
            <w:r>
              <w:t xml:space="preserve">(3)</w:t>
            </w:r>
          </w:p>
        </w:tc>
        <w:tc>
          <w:tcPr/>
          <w:p>
            <w:pPr>
              <w:pStyle w:val="Compact"/>
              <w:jc w:val="left"/>
            </w:pPr>
            <w:r>
              <w:rPr>
                <w:bCs/>
                <w:b/>
              </w:rPr>
              <w:t xml:space="preserve">Cạnh tranh từ doanh nghiệp phi chính thức</w:t>
            </w:r>
          </w:p>
        </w:tc>
        <w:tc>
          <w:tcPr/>
          <w:p>
            <w:pPr>
              <w:pStyle w:val="Compact"/>
              <w:jc w:val="left"/>
            </w:pPr>
            <w:r>
              <w:t xml:space="preserve">Informal sector competition</w:t>
            </w:r>
          </w:p>
        </w:tc>
        <w:tc>
          <w:tcPr/>
          <w:p>
            <w:pPr>
              <w:pStyle w:val="Compact"/>
              <w:jc w:val="left"/>
            </w:pPr>
            <w:r>
              <w:t xml:space="preserve">Cao</w:t>
            </w:r>
          </w:p>
        </w:tc>
        <w:tc>
          <w:tcPr/>
          <w:p>
            <w:pPr>
              <w:pStyle w:val="Compact"/>
              <w:jc w:val="left"/>
            </w:pPr>
            <w:r>
              <w:t xml:space="preserve">Cao</w:t>
            </w:r>
          </w:p>
        </w:tc>
        <w:tc>
          <w:tcPr/>
          <w:p>
            <w:pPr>
              <w:pStyle w:val="Compact"/>
              <w:jc w:val="left"/>
            </w:pPr>
            <w:r>
              <w:t xml:space="preserve">Thấp</w:t>
            </w:r>
          </w:p>
        </w:tc>
        <w:tc>
          <w:tcPr/>
          <w:p>
            <w:pPr>
              <w:pStyle w:val="Compact"/>
              <w:jc w:val="left"/>
            </w:pPr>
            <w:r>
              <w:t xml:space="preserve">La Porta &amp; Shleifer (2008, 2014) kinh tế ngầm</w:t>
            </w:r>
          </w:p>
        </w:tc>
      </w:tr>
      <w:tr>
        <w:tc>
          <w:tcPr/>
          <w:p>
            <w:pPr>
              <w:pStyle w:val="Compact"/>
              <w:jc w:val="left"/>
            </w:pPr>
            <w:r>
              <w:t xml:space="preserve">(4)</w:t>
            </w:r>
          </w:p>
        </w:tc>
        <w:tc>
          <w:tcPr/>
          <w:p>
            <w:pPr>
              <w:pStyle w:val="Compact"/>
              <w:jc w:val="left"/>
            </w:pPr>
            <w:r>
              <w:rPr>
                <w:bCs/>
                <w:b/>
              </w:rPr>
              <w:t xml:space="preserve">Nguồn cung điện không đáng tin cậy</w:t>
            </w:r>
          </w:p>
        </w:tc>
        <w:tc>
          <w:tcPr/>
          <w:p>
            <w:pPr>
              <w:pStyle w:val="Compact"/>
              <w:jc w:val="left"/>
            </w:pPr>
            <w:r>
              <w:t xml:space="preserve">Power outages</w:t>
            </w:r>
          </w:p>
        </w:tc>
        <w:tc>
          <w:tcPr/>
          <w:p>
            <w:pPr>
              <w:pStyle w:val="Compact"/>
              <w:jc w:val="left"/>
            </w:pPr>
            <w:r>
              <w:t xml:space="preserve">Cao (đặc biệt SIDS)</w:t>
            </w:r>
          </w:p>
        </w:tc>
        <w:tc>
          <w:tcPr/>
          <w:p>
            <w:pPr>
              <w:pStyle w:val="Compact"/>
              <w:jc w:val="left"/>
            </w:pPr>
            <w:r>
              <w:t xml:space="preserve">Trung bình</w:t>
            </w:r>
          </w:p>
        </w:tc>
        <w:tc>
          <w:tcPr/>
          <w:p>
            <w:pPr>
              <w:pStyle w:val="Compact"/>
              <w:jc w:val="left"/>
            </w:pPr>
            <w:r>
              <w:t xml:space="preserve">Thấp</w:t>
            </w:r>
          </w:p>
        </w:tc>
        <w:tc>
          <w:tcPr/>
          <w:p>
            <w:pPr>
              <w:pStyle w:val="Compact"/>
              <w:jc w:val="left"/>
            </w:pPr>
            <w:r>
              <w:t xml:space="preserve">IFC PSD Blueprint trụ cột nguồn lực vận hành</w:t>
            </w:r>
          </w:p>
        </w:tc>
      </w:tr>
    </w:tbl>
    <w:p>
      <w:pPr>
        <w:pStyle w:val="BodyText"/>
      </w:pPr>
      <w:r>
        <w:t xml:space="preserve">Bốn rào cản này tạo ra bốn biến kiểm soát quan trọng cho Chuyên đề 2:</w:t>
      </w:r>
      <w:r>
        <w:t xml:space="preserve"> </w:t>
      </w:r>
      <w:r>
        <w:rPr>
          <w:rStyle w:val="VerbatimChar"/>
        </w:rPr>
        <w:t xml:space="preserve">credit_constraint_dummy</w:t>
      </w:r>
      <w:r>
        <w:t xml:space="preserve">,</w:t>
      </w:r>
      <w:r>
        <w:t xml:space="preserve"> </w:t>
      </w:r>
      <w:r>
        <w:rPr>
          <w:rStyle w:val="VerbatimChar"/>
        </w:rPr>
        <w:t xml:space="preserve">labor_skill_gap</w:t>
      </w:r>
      <w:r>
        <w:t xml:space="preserve">,</w:t>
      </w:r>
      <w:r>
        <w:t xml:space="preserve"> </w:t>
      </w:r>
      <w:r>
        <w:rPr>
          <w:rStyle w:val="VerbatimChar"/>
        </w:rPr>
        <w:t xml:space="preserve">informal_competition</w:t>
      </w:r>
      <w:r>
        <w:t xml:space="preserve">,</w:t>
      </w:r>
      <w:r>
        <w:t xml:space="preserve"> </w:t>
      </w:r>
      <w:r>
        <w:rPr>
          <w:rStyle w:val="VerbatimChar"/>
        </w:rPr>
        <w:t xml:space="preserve">power_outage_intensity</w:t>
      </w:r>
      <w:r>
        <w:t xml:space="preserve">. Sự hiện diện đồng thời của nhiều voids thể chế tại Frontier giải thích tại sao quan hệ quốc tế hóa - hiệu quả ở nhóm này yếu và không đơn điệu.</w:t>
      </w:r>
    </w:p>
    <w:p>
      <w:r>
        <w:pict>
          <v:rect style="width:0;height:1.5pt" o:hralign="center" o:hrstd="t" o:hr="t"/>
        </w:pict>
      </w:r>
    </w:p>
    <w:bookmarkEnd w:id="50"/>
    <w:bookmarkEnd w:id="51"/>
    <w:bookmarkStart w:id="57" w:name="biến-thiên-theo-thời-gian-2009-2025"/>
    <w:p>
      <w:pPr>
        <w:pStyle w:val="Heading3"/>
      </w:pPr>
      <w:r>
        <w:t xml:space="preserve">2.3.6 Biến thiên theo thời gian (2009-2025)</w:t>
      </w:r>
    </w:p>
    <w:bookmarkStart w:id="52" w:name="xu-hướng-thay-đổi-chính"/>
    <w:p>
      <w:pPr>
        <w:pStyle w:val="Heading4"/>
      </w:pPr>
      <w:r>
        <w:t xml:space="preserve">2.3.6.1 Xu hướng thay đổi chính</w:t>
      </w:r>
    </w:p>
    <w:p>
      <w:pPr>
        <w:pStyle w:val="FirstParagraph"/>
      </w:pPr>
      <w:r>
        <w:rPr>
          <w:bCs/>
          <w:b/>
        </w:rPr>
        <w:t xml:space="preserve">Bảng 2.3.6.1</w:t>
      </w:r>
      <w:r>
        <w:t xml:space="preserve">.</w:t>
      </w:r>
      <w:r>
        <w:t xml:space="preserve"> </w:t>
      </w:r>
      <w:r>
        <w:rPr>
          <w:iCs/>
          <w:i/>
        </w:rPr>
        <w:t xml:space="preserve">Δ điểm phần trăm khi so sánh 2018-2025 với 2009-2012.</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Phân nhóm con</w:t>
            </w:r>
          </w:p>
        </w:tc>
        <w:tc>
          <w:tcPr/>
          <w:p>
            <w:pPr>
              <w:pStyle w:val="Compact"/>
              <w:jc w:val="left"/>
            </w:pPr>
            <w:r>
              <w:t xml:space="preserve">Δ Website</w:t>
            </w:r>
          </w:p>
        </w:tc>
        <w:tc>
          <w:tcPr/>
          <w:p>
            <w:pPr>
              <w:pStyle w:val="Compact"/>
              <w:jc w:val="left"/>
            </w:pPr>
            <w:r>
              <w:t xml:space="preserve">Δ DN xuất khẩu</w:t>
            </w:r>
          </w:p>
        </w:tc>
        <w:tc>
          <w:tcPr/>
          <w:p>
            <w:pPr>
              <w:pStyle w:val="Compact"/>
              <w:jc w:val="left"/>
            </w:pPr>
            <w:r>
              <w:t xml:space="preserve">Δ FDI</w:t>
            </w:r>
          </w:p>
        </w:tc>
        <w:tc>
          <w:tcPr/>
          <w:p>
            <w:pPr>
              <w:pStyle w:val="Compact"/>
              <w:jc w:val="left"/>
            </w:pPr>
            <w:r>
              <w:t xml:space="preserve">Δ R&amp;D</w:t>
            </w:r>
          </w:p>
        </w:tc>
        <w:tc>
          <w:tcPr/>
          <w:p>
            <w:pPr>
              <w:pStyle w:val="Compact"/>
              <w:jc w:val="left"/>
            </w:pPr>
            <w:r>
              <w:t xml:space="preserve">Δ ISO</w:t>
            </w:r>
          </w:p>
        </w:tc>
      </w:tr>
      <w:tr>
        <w:tc>
          <w:tcPr/>
          <w:p>
            <w:pPr>
              <w:pStyle w:val="Compact"/>
              <w:jc w:val="left"/>
            </w:pPr>
            <w:r>
              <w:t xml:space="preserve">Upper-middle</w:t>
            </w:r>
          </w:p>
        </w:tc>
        <w:tc>
          <w:tcPr/>
          <w:p>
            <w:pPr>
              <w:pStyle w:val="Compact"/>
              <w:jc w:val="left"/>
            </w:pPr>
            <w:r>
              <w:t xml:space="preserve">-9,9</w:t>
            </w:r>
          </w:p>
        </w:tc>
        <w:tc>
          <w:tcPr/>
          <w:p>
            <w:pPr>
              <w:pStyle w:val="Compact"/>
              <w:jc w:val="left"/>
            </w:pPr>
            <w:r>
              <w:t xml:space="preserve">+1,4</w:t>
            </w:r>
          </w:p>
        </w:tc>
        <w:tc>
          <w:tcPr/>
          <w:p>
            <w:pPr>
              <w:pStyle w:val="Compact"/>
              <w:jc w:val="left"/>
            </w:pPr>
            <w:r>
              <w:t xml:space="preserve">+2,3</w:t>
            </w:r>
          </w:p>
        </w:tc>
        <w:tc>
          <w:tcPr/>
          <w:p>
            <w:pPr>
              <w:pStyle w:val="Compact"/>
              <w:jc w:val="left"/>
            </w:pPr>
            <w:r>
              <w:t xml:space="preserve">+21,5</w:t>
            </w:r>
          </w:p>
        </w:tc>
        <w:tc>
          <w:tcPr/>
          <w:p>
            <w:pPr>
              <w:pStyle w:val="Compact"/>
              <w:jc w:val="left"/>
            </w:pPr>
            <w:r>
              <w:t xml:space="preserve">-25,4</w:t>
            </w:r>
          </w:p>
        </w:tc>
      </w:tr>
      <w:tr>
        <w:tc>
          <w:tcPr/>
          <w:p>
            <w:pPr>
              <w:pStyle w:val="Compact"/>
              <w:jc w:val="left"/>
            </w:pPr>
            <w:r>
              <w:t xml:space="preserve">Emerging</w:t>
            </w:r>
          </w:p>
        </w:tc>
        <w:tc>
          <w:tcPr/>
          <w:p>
            <w:pPr>
              <w:pStyle w:val="Compact"/>
              <w:jc w:val="left"/>
            </w:pPr>
            <w:r>
              <w:t xml:space="preserve">+20,3</w:t>
            </w:r>
          </w:p>
        </w:tc>
        <w:tc>
          <w:tcPr/>
          <w:p>
            <w:pPr>
              <w:pStyle w:val="Compact"/>
              <w:jc w:val="left"/>
            </w:pPr>
            <w:r>
              <w:t xml:space="preserve">-7,5</w:t>
            </w:r>
          </w:p>
        </w:tc>
        <w:tc>
          <w:tcPr/>
          <w:p>
            <w:pPr>
              <w:pStyle w:val="Compact"/>
              <w:jc w:val="left"/>
            </w:pPr>
            <w:r>
              <w:t xml:space="preserve">-10,9</w:t>
            </w:r>
          </w:p>
        </w:tc>
        <w:tc>
          <w:tcPr/>
          <w:p>
            <w:pPr>
              <w:pStyle w:val="Compact"/>
              <w:jc w:val="left"/>
            </w:pPr>
            <w:r>
              <w:t xml:space="preserve">-42,1</w:t>
            </w:r>
          </w:p>
        </w:tc>
        <w:tc>
          <w:tcPr/>
          <w:p>
            <w:pPr>
              <w:pStyle w:val="Compact"/>
              <w:jc w:val="left"/>
            </w:pPr>
            <w:r>
              <w:t xml:space="preserve">+1,9</w:t>
            </w:r>
          </w:p>
        </w:tc>
      </w:tr>
      <w:tr>
        <w:tc>
          <w:tcPr/>
          <w:p>
            <w:pPr>
              <w:pStyle w:val="Compact"/>
              <w:jc w:val="left"/>
            </w:pPr>
            <w:r>
              <w:t xml:space="preserve">Frontier</w:t>
            </w:r>
          </w:p>
        </w:tc>
        <w:tc>
          <w:tcPr/>
          <w:p>
            <w:pPr>
              <w:pStyle w:val="Compact"/>
              <w:jc w:val="left"/>
            </w:pPr>
            <w:r>
              <w:t xml:space="preserve">+22,1</w:t>
            </w:r>
          </w:p>
        </w:tc>
        <w:tc>
          <w:tcPr/>
          <w:p>
            <w:pPr>
              <w:pStyle w:val="Compact"/>
              <w:jc w:val="left"/>
            </w:pPr>
            <w:r>
              <w:t xml:space="preserve">+1,5</w:t>
            </w:r>
          </w:p>
        </w:tc>
        <w:tc>
          <w:tcPr/>
          <w:p>
            <w:pPr>
              <w:pStyle w:val="Compact"/>
              <w:jc w:val="left"/>
            </w:pPr>
            <w:r>
              <w:t xml:space="preserve">-6,5</w:t>
            </w:r>
          </w:p>
        </w:tc>
        <w:tc>
          <w:tcPr/>
          <w:p>
            <w:pPr>
              <w:pStyle w:val="Compact"/>
              <w:jc w:val="left"/>
            </w:pPr>
            <w:r>
              <w:t xml:space="preserve">-18,9</w:t>
            </w:r>
          </w:p>
        </w:tc>
        <w:tc>
          <w:tcPr/>
          <w:p>
            <w:pPr>
              <w:pStyle w:val="Compact"/>
              <w:jc w:val="left"/>
            </w:pPr>
            <w:r>
              <w:t xml:space="preserve">+18,5</w:t>
            </w:r>
          </w:p>
        </w:tc>
      </w:tr>
      <w:tr>
        <w:tc>
          <w:tcPr/>
          <w:p>
            <w:pPr>
              <w:pStyle w:val="Compact"/>
              <w:jc w:val="left"/>
            </w:pPr>
            <w:r>
              <w:t xml:space="preserve">SIDS Thái Bình Dương</w:t>
            </w:r>
          </w:p>
        </w:tc>
        <w:tc>
          <w:tcPr/>
          <w:p>
            <w:pPr>
              <w:pStyle w:val="Compact"/>
              <w:jc w:val="left"/>
            </w:pPr>
            <w:r>
              <w:t xml:space="preserve">+35 đến +43</w:t>
            </w:r>
          </w:p>
        </w:tc>
        <w:tc>
          <w:tcPr/>
          <w:p>
            <w:pPr>
              <w:pStyle w:val="Compact"/>
              <w:jc w:val="left"/>
            </w:pPr>
            <w:r>
              <w:t xml:space="preserve">+6 đến +11</w:t>
            </w:r>
          </w:p>
        </w:tc>
        <w:tc>
          <w:tcPr/>
          <w:p>
            <w:pPr>
              <w:pStyle w:val="Compact"/>
              <w:jc w:val="left"/>
            </w:pPr>
            <w:r>
              <w:t xml:space="preserve">-5 đến -10</w:t>
            </w:r>
          </w:p>
        </w:tc>
        <w:tc>
          <w:tcPr/>
          <w:p>
            <w:pPr>
              <w:pStyle w:val="Compact"/>
              <w:jc w:val="left"/>
            </w:pPr>
            <w:r>
              <w:t xml:space="preserve">-¹</w:t>
            </w:r>
          </w:p>
        </w:tc>
        <w:tc>
          <w:tcPr/>
          <w:p>
            <w:pPr>
              <w:pStyle w:val="Compact"/>
              <w:jc w:val="left"/>
            </w:pPr>
            <w:r>
              <w:t xml:space="preserve">-20 đến -25</w:t>
            </w:r>
          </w:p>
        </w:tc>
      </w:tr>
    </w:tbl>
    <w:p>
      <w:pPr>
        <w:pStyle w:val="BodyText"/>
      </w:pPr>
      <w:r>
        <w:rPr>
          <w:iCs/>
          <w:i/>
        </w:rPr>
        <w:t xml:space="preserve">¹ Δ R&amp;D không tính được cho SIDS vì dữ liệu giai đoạn 2009-2012 quá thưa, hầu hết SIDS chỉ có khảo sát từ 2013+ (FJI, PNG, SLB, TON, VUT, WSM); chỉ Kiribati (KIR) có đợt 2025 mới nhất. Để so sánh dọc, cần ít nhất 2 đợt khảo sát cùng quốc gia.</w:t>
      </w:r>
    </w:p>
    <w:p>
      <w:pPr>
        <w:pStyle w:val="BodyText"/>
      </w:pPr>
      <w:r>
        <w:rPr>
          <w:bCs/>
          <w:b/>
        </w:rPr>
        <w:t xml:space="preserve">Nhảy vọt số</w:t>
      </w:r>
      <w:r>
        <w:t xml:space="preserve"> </w:t>
      </w:r>
      <w:r>
        <w:t xml:space="preserve">là xu hướng nổi bật nhất: website tăng +20-43 điểm phần trăm ở Frontier, Emerging và SIDS, phù hợp luận điểm nhảy vọt số của Banalieva &amp; Dhanaraj (2019). Trong khi đó, R&amp;D giảm mạnh ở Emerging (-42,1 điểm phần trăm) là cảnh báo hiệu ứng schema: BREADY 2018+ đo R&amp;D theo cách khác làm giảm tỷ lệ báo cáo. Upper-middle là nhóm duy nhất có R&amp;D tăng đáng kể (+21,5 điểm phần trăm), phản ánh đầu tư thực sự, đặc biệt từ Trung Quốc với chiến lược sản xuất thông minh.</w:t>
      </w:r>
    </w:p>
    <w:p>
      <w:pPr>
        <w:pStyle w:val="BodyText"/>
      </w:pPr>
      <w:r>
        <w:rPr>
          <w:iCs/>
          <w:i/>
        </w:rPr>
        <w:t xml:space="preserve">Hình 2.3.4.1. Slope chart minh họa thay đổi 5 chỉ số giữa 2 mốc thời gian cho 4 phân nhóm con. Pattern nổi bật: Website tăng mạnh +20-40 điểm phần trăm ở Frontier/SIDS; FDI giảm phổ biến; R&amp;D giảm mạnh ở Emerging (-42,1 đpt) cảnh báo hiệu ứng schema.</w:t>
      </w:r>
    </w:p>
    <w:p>
      <w:pPr>
        <w:pStyle w:val="BodyText"/>
      </w:pPr>
      <w:r>
        <w:rPr>
          <w:iCs/>
          <w:i/>
        </w:rPr>
        <w:t xml:space="preserve">Hình 2.3.6.1. Radar/spider chart cho 3 phân nhóm con (Advanced, Emerging, SIDS) trên 5 chiều (FSTS, Đổi mới sản phẩm, R&amp;D, Website, ISO) với 2 mốc thời gian 2009-2012 vs 2018-2025.</w:t>
      </w:r>
    </w:p>
    <w:bookmarkEnd w:id="52"/>
    <w:bookmarkStart w:id="53" w:name="phân-biệt-3-chỉ-số-tham-nhũng-wbes"/>
    <w:p>
      <w:pPr>
        <w:pStyle w:val="Heading4"/>
      </w:pPr>
      <w:r>
        <w:t xml:space="preserve">2.3.6.2 Phân biệt 3 chỉ số tham nhũng WBES</w:t>
      </w:r>
    </w:p>
    <w:p>
      <w:pPr>
        <w:pStyle w:val="FirstParagraph"/>
      </w:pPr>
      <w:r>
        <w:rPr>
          <w:bCs/>
          <w:b/>
        </w:rPr>
        <w:t xml:space="preserve">Bảng 2.3.6.2</w:t>
      </w:r>
      <w:r>
        <w:t xml:space="preserve">.</w:t>
      </w:r>
      <w:r>
        <w:t xml:space="preserve"> </w:t>
      </w:r>
      <w:r>
        <w:rPr>
          <w:iCs/>
          <w:i/>
        </w:rPr>
        <w:t xml:space="preserve">Phân biệt 3 chỉ số tham nhũng WBES, định nghĩa chính thức và cách đo.</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w:t>
            </w:r>
          </w:p>
        </w:tc>
        <w:tc>
          <w:tcPr/>
          <w:p>
            <w:pPr>
              <w:pStyle w:val="Compact"/>
              <w:jc w:val="left"/>
            </w:pPr>
            <w:r>
              <w:t xml:space="preserve">Chỉ số</w:t>
            </w:r>
          </w:p>
        </w:tc>
        <w:tc>
          <w:tcPr/>
          <w:p>
            <w:pPr>
              <w:pStyle w:val="Compact"/>
              <w:jc w:val="left"/>
            </w:pPr>
            <w:r>
              <w:t xml:space="preserve">Tiếng Việt chuẩn WB</w:t>
            </w:r>
          </w:p>
        </w:tc>
        <w:tc>
          <w:tcPr/>
          <w:p>
            <w:pPr>
              <w:pStyle w:val="Compact"/>
              <w:jc w:val="left"/>
            </w:pPr>
            <w:r>
              <w:t xml:space="preserve">Định nghĩa</w:t>
            </w:r>
          </w:p>
        </w:tc>
        <w:tc>
          <w:tcPr/>
          <w:p>
            <w:pPr>
              <w:pStyle w:val="Compact"/>
              <w:jc w:val="left"/>
            </w:pPr>
            <w:r>
              <w:t xml:space="preserve">Ngưỡng cảnh báo</w:t>
            </w:r>
          </w:p>
        </w:tc>
      </w:tr>
      <w:tr>
        <w:tc>
          <w:tcPr/>
          <w:p>
            <w:pPr>
              <w:pStyle w:val="Compact"/>
              <w:jc w:val="left"/>
            </w:pPr>
            <w:r>
              <w:t xml:space="preserve">(a-1)</w:t>
            </w:r>
          </w:p>
        </w:tc>
        <w:tc>
          <w:tcPr/>
          <w:p>
            <w:pPr>
              <w:pStyle w:val="Compact"/>
              <w:jc w:val="left"/>
            </w:pPr>
            <w:r>
              <w:rPr>
                <w:bCs/>
                <w:b/>
              </w:rPr>
              <w:t xml:space="preserve">Bribery Incidence</w:t>
            </w:r>
          </w:p>
        </w:tc>
        <w:tc>
          <w:tcPr/>
          <w:p>
            <w:pPr>
              <w:pStyle w:val="Compact"/>
              <w:jc w:val="left"/>
            </w:pPr>
            <w:r>
              <w:rPr>
                <w:bCs/>
                <w:b/>
              </w:rPr>
              <w:t xml:space="preserve">Tỷ lệ hối lộ</w:t>
            </w:r>
          </w:p>
        </w:tc>
        <w:tc>
          <w:tcPr/>
          <w:p>
            <w:pPr>
              <w:pStyle w:val="Compact"/>
              <w:jc w:val="left"/>
            </w:pPr>
            <w:r>
              <w:t xml:space="preserve">% doanh nghiệp gặp ít nhất 1 yêu cầu hối lộ trong 6 giao dịch công</w:t>
            </w:r>
          </w:p>
        </w:tc>
        <w:tc>
          <w:tcPr/>
          <w:p>
            <w:pPr>
              <w:pStyle w:val="Compact"/>
              <w:jc w:val="left"/>
            </w:pPr>
            <w:r>
              <w:t xml:space="preserve">&gt;20% = báo động đỏ</w:t>
            </w:r>
          </w:p>
        </w:tc>
      </w:tr>
      <w:tr>
        <w:tc>
          <w:tcPr/>
          <w:p>
            <w:pPr>
              <w:pStyle w:val="Compact"/>
              <w:jc w:val="left"/>
            </w:pPr>
            <w:r>
              <w:t xml:space="preserve">(a-2)</w:t>
            </w:r>
          </w:p>
        </w:tc>
        <w:tc>
          <w:tcPr/>
          <w:p>
            <w:pPr>
              <w:pStyle w:val="Compact"/>
              <w:jc w:val="left"/>
            </w:pPr>
            <w:r>
              <w:rPr>
                <w:bCs/>
                <w:b/>
              </w:rPr>
              <w:t xml:space="preserve">Bribery Depth</w:t>
            </w:r>
          </w:p>
        </w:tc>
        <w:tc>
          <w:tcPr/>
          <w:p>
            <w:pPr>
              <w:pStyle w:val="Compact"/>
              <w:jc w:val="left"/>
            </w:pPr>
            <w:r>
              <w:rPr>
                <w:bCs/>
                <w:b/>
              </w:rPr>
              <w:t xml:space="preserve">Độ sâu hối lộ</w:t>
            </w:r>
          </w:p>
        </w:tc>
        <w:tc>
          <w:tcPr/>
          <w:p>
            <w:pPr>
              <w:pStyle w:val="Compact"/>
              <w:jc w:val="left"/>
            </w:pPr>
            <w:r>
              <w:t xml:space="preserve">% giao dịch công có hối lộ trên tổng số giao dịch công của doanh nghiệp</w:t>
            </w:r>
          </w:p>
        </w:tc>
        <w:tc>
          <w:tcPr/>
          <w:p>
            <w:pPr>
              <w:pStyle w:val="Compact"/>
              <w:jc w:val="left"/>
            </w:pPr>
            <w:r>
              <w:t xml:space="preserve">&gt;15% = báo động đỏ</w:t>
            </w:r>
          </w:p>
        </w:tc>
      </w:tr>
      <w:tr>
        <w:tc>
          <w:tcPr/>
          <w:p>
            <w:pPr>
              <w:pStyle w:val="Compact"/>
              <w:jc w:val="left"/>
            </w:pPr>
            <w:r>
              <w:t xml:space="preserve">(b-1)</w:t>
            </w:r>
          </w:p>
        </w:tc>
        <w:tc>
          <w:tcPr/>
          <w:p>
            <w:pPr>
              <w:pStyle w:val="Compact"/>
              <w:jc w:val="left"/>
            </w:pPr>
            <w:r>
              <w:rPr>
                <w:bCs/>
                <w:b/>
              </w:rPr>
              <w:t xml:space="preserve">Graft Index</w:t>
            </w:r>
          </w:p>
        </w:tc>
        <w:tc>
          <w:tcPr/>
          <w:p>
            <w:pPr>
              <w:pStyle w:val="Compact"/>
              <w:jc w:val="left"/>
            </w:pPr>
            <w:r>
              <w:rPr>
                <w:bCs/>
                <w:b/>
              </w:rPr>
              <w:t xml:space="preserve">Chỉ số tham ô</w:t>
            </w:r>
          </w:p>
        </w:tc>
        <w:tc>
          <w:tcPr/>
          <w:p>
            <w:pPr>
              <w:pStyle w:val="Compact"/>
              <w:jc w:val="left"/>
            </w:pPr>
            <w:r>
              <w:t xml:space="preserve">Tỷ lệ hối lộ trong 6 giao dịch nhưng</w:t>
            </w:r>
            <w:r>
              <w:t xml:space="preserve"> </w:t>
            </w:r>
            <w:r>
              <w:rPr>
                <w:bCs/>
                <w:b/>
              </w:rPr>
              <w:t xml:space="preserve">loại trừ thanh tra thuế</w:t>
            </w:r>
          </w:p>
        </w:tc>
        <w:tc>
          <w:tcPr/>
          <w:p>
            <w:pPr>
              <w:pStyle w:val="Compact"/>
              <w:jc w:val="left"/>
            </w:pPr>
            <w:r>
              <w:t xml:space="preserve">&gt;10% = báo động đỏ</w:t>
            </w:r>
          </w:p>
        </w:tc>
      </w:tr>
    </w:tbl>
    <w:p>
      <w:pPr>
        <w:pStyle w:val="BodyText"/>
      </w:pPr>
      <w:r>
        <w:t xml:space="preserve">Lý do loại trừ thanh tra thuế khỏi Graft Index: doanh nghiệp khai báo</w:t>
      </w:r>
      <w:r>
        <w:t xml:space="preserve"> </w:t>
      </w:r>
      <w:r>
        <w:t xml:space="preserve">“</w:t>
      </w:r>
      <w:r>
        <w:t xml:space="preserve">phải hối lộ thanh tra thuế</w:t>
      </w:r>
      <w:r>
        <w:t xml:space="preserve">”</w:t>
      </w:r>
      <w:r>
        <w:t xml:space="preserve"> </w:t>
      </w:r>
      <w:r>
        <w:t xml:space="preserve">có lệch chọn lọc vì những doanh nghiệp trốn thuế dễ thừa nhận hơn. Loại trừ thanh tra thuế giúp Graft Index phản ánh</w:t>
      </w:r>
      <w:r>
        <w:t xml:space="preserve"> </w:t>
      </w:r>
      <w:r>
        <w:rPr>
          <w:bCs/>
          <w:b/>
        </w:rPr>
        <w:t xml:space="preserve">tham ô hệ thống</w:t>
      </w:r>
      <w:r>
        <w:t xml:space="preserve"> </w:t>
      </w:r>
      <w:r>
        <w:t xml:space="preserve">thay vì hành vi cá biệt.</w:t>
      </w:r>
    </w:p>
    <w:bookmarkEnd w:id="53"/>
    <w:bookmarkStart w:id="54" w:name="khung-phân-tích-cấp-ngành"/>
    <w:p>
      <w:pPr>
        <w:pStyle w:val="Heading4"/>
      </w:pPr>
      <w:r>
        <w:t xml:space="preserve">2.3.6.3 Khung phân tích cấp ngành</w:t>
      </w:r>
    </w:p>
    <w:p>
      <w:pPr>
        <w:pStyle w:val="FirstParagraph"/>
      </w:pPr>
      <w:r>
        <w:rPr>
          <w:bCs/>
          <w:b/>
        </w:rPr>
        <w:t xml:space="preserve">Bảng 2.3.6.3</w:t>
      </w:r>
      <w:r>
        <w:t xml:space="preserve">.</w:t>
      </w:r>
      <w:r>
        <w:t xml:space="preserve"> </w:t>
      </w:r>
      <w:r>
        <w:rPr>
          <w:iCs/>
          <w:i/>
        </w:rPr>
        <w:t xml:space="preserve">Khung phân loại 9 ngành ISIC Rev. 4, bao gồm cột Dynamism profile per Kafouros et al. (2023).</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Ngành</w:t>
            </w:r>
          </w:p>
        </w:tc>
        <w:tc>
          <w:tcPr/>
          <w:p>
            <w:pPr>
              <w:pStyle w:val="Compact"/>
              <w:jc w:val="left"/>
            </w:pPr>
            <w:r>
              <w:t xml:space="preserve">Mã ISIC</w:t>
            </w:r>
          </w:p>
        </w:tc>
        <w:tc>
          <w:tcPr/>
          <w:p>
            <w:pPr>
              <w:pStyle w:val="Compact"/>
              <w:jc w:val="left"/>
            </w:pPr>
            <w:r>
              <w:t xml:space="preserve">Đặc điểm</w:t>
            </w:r>
          </w:p>
        </w:tc>
        <w:tc>
          <w:tcPr/>
          <w:p>
            <w:pPr>
              <w:pStyle w:val="Compact"/>
              <w:jc w:val="left"/>
            </w:pPr>
            <w:r>
              <w:t xml:space="preserve">Pattern dự kiến</w:t>
            </w:r>
          </w:p>
        </w:tc>
        <w:tc>
          <w:tcPr/>
          <w:p>
            <w:pPr>
              <w:pStyle w:val="Compact"/>
              <w:jc w:val="left"/>
            </w:pPr>
            <w:r>
              <w:t xml:space="preserve">Dynamism profile</w:t>
            </w:r>
          </w:p>
        </w:tc>
      </w:tr>
      <w:tr>
        <w:tc>
          <w:tcPr/>
          <w:p>
            <w:pPr>
              <w:pStyle w:val="Compact"/>
              <w:jc w:val="left"/>
            </w:pPr>
            <w:r>
              <w:t xml:space="preserve">Sản xuất, high-tech</w:t>
            </w:r>
          </w:p>
        </w:tc>
        <w:tc>
          <w:tcPr/>
          <w:p>
            <w:pPr>
              <w:pStyle w:val="Compact"/>
              <w:jc w:val="left"/>
            </w:pPr>
            <w:r>
              <w:t xml:space="preserve">C (20-21, 26-30)</w:t>
            </w:r>
          </w:p>
        </w:tc>
        <w:tc>
          <w:tcPr/>
          <w:p>
            <w:pPr>
              <w:pStyle w:val="Compact"/>
              <w:jc w:val="left"/>
            </w:pPr>
            <w:r>
              <w:t xml:space="preserve">Thâm dụng vốn, định hướng xuất khẩu</w:t>
            </w:r>
          </w:p>
        </w:tc>
        <w:tc>
          <w:tcPr/>
          <w:p>
            <w:pPr>
              <w:pStyle w:val="Compact"/>
              <w:jc w:val="left"/>
            </w:pPr>
            <w:r>
              <w:t xml:space="preserve">FSTS cao; R&amp;D cao; ISO cao</w:t>
            </w:r>
          </w:p>
        </w:tc>
        <w:tc>
          <w:tcPr/>
          <w:p>
            <w:pPr>
              <w:pStyle w:val="Compact"/>
              <w:jc w:val="left"/>
            </w:pPr>
            <w:r>
              <w:rPr>
                <w:bCs/>
                <w:b/>
              </w:rPr>
              <w:t xml:space="preserve">Dynamism công nghệ cao</w:t>
            </w:r>
          </w:p>
        </w:tc>
      </w:tr>
      <w:tr>
        <w:tc>
          <w:tcPr/>
          <w:p>
            <w:pPr>
              <w:pStyle w:val="Compact"/>
              <w:jc w:val="left"/>
            </w:pPr>
            <w:r>
              <w:t xml:space="preserve">Sản xuất, low-tech</w:t>
            </w:r>
          </w:p>
        </w:tc>
        <w:tc>
          <w:tcPr/>
          <w:p>
            <w:pPr>
              <w:pStyle w:val="Compact"/>
              <w:jc w:val="left"/>
            </w:pPr>
            <w:r>
              <w:t xml:space="preserve">C (10-18, 22-25, 31-33)</w:t>
            </w:r>
          </w:p>
        </w:tc>
        <w:tc>
          <w:tcPr/>
          <w:p>
            <w:pPr>
              <w:pStyle w:val="Compact"/>
              <w:jc w:val="left"/>
            </w:pPr>
            <w:r>
              <w:t xml:space="preserve">Thâm dụng lao động</w:t>
            </w:r>
          </w:p>
        </w:tc>
        <w:tc>
          <w:tcPr/>
          <w:p>
            <w:pPr>
              <w:pStyle w:val="Compact"/>
              <w:jc w:val="left"/>
            </w:pPr>
            <w:r>
              <w:t xml:space="preserve">FSTS trung bình; R&amp;D thấp</w:t>
            </w:r>
          </w:p>
        </w:tc>
        <w:tc>
          <w:tcPr/>
          <w:p>
            <w:pPr>
              <w:pStyle w:val="Compact"/>
              <w:jc w:val="left"/>
            </w:pPr>
            <w:r>
              <w:rPr>
                <w:bCs/>
                <w:b/>
              </w:rPr>
              <w:t xml:space="preserve">Dynamism công nghệ thấp</w:t>
            </w:r>
          </w:p>
        </w:tc>
      </w:tr>
      <w:tr>
        <w:tc>
          <w:tcPr/>
          <w:p>
            <w:pPr>
              <w:pStyle w:val="Compact"/>
              <w:jc w:val="left"/>
            </w:pPr>
            <w:r>
              <w:t xml:space="preserve">Bán buôn/bán lẻ</w:t>
            </w:r>
          </w:p>
        </w:tc>
        <w:tc>
          <w:tcPr/>
          <w:p>
            <w:pPr>
              <w:pStyle w:val="Compact"/>
              <w:jc w:val="left"/>
            </w:pPr>
            <w:r>
              <w:t xml:space="preserve">G (45-47)</w:t>
            </w:r>
          </w:p>
        </w:tc>
        <w:tc>
          <w:tcPr/>
          <w:p>
            <w:pPr>
              <w:pStyle w:val="Compact"/>
              <w:jc w:val="left"/>
            </w:pPr>
            <w:r>
              <w:t xml:space="preserve">Thâm dụng lao động</w:t>
            </w:r>
          </w:p>
        </w:tc>
        <w:tc>
          <w:tcPr/>
          <w:p>
            <w:pPr>
              <w:pStyle w:val="Compact"/>
              <w:jc w:val="left"/>
            </w:pPr>
            <w:r>
              <w:t xml:space="preserve">FSTS thấp; website cao</w:t>
            </w:r>
          </w:p>
        </w:tc>
        <w:tc>
          <w:tcPr/>
          <w:p>
            <w:pPr>
              <w:pStyle w:val="Compact"/>
              <w:jc w:val="left"/>
            </w:pPr>
            <w:r>
              <w:rPr>
                <w:bCs/>
                <w:b/>
              </w:rPr>
              <w:t xml:space="preserve">Dynamism thị trường cao</w:t>
            </w:r>
          </w:p>
        </w:tc>
      </w:tr>
      <w:tr>
        <w:tc>
          <w:tcPr/>
          <w:p>
            <w:pPr>
              <w:pStyle w:val="Compact"/>
              <w:jc w:val="left"/>
            </w:pPr>
            <w:r>
              <w:t xml:space="preserve">Du lịch/khách sạn</w:t>
            </w:r>
          </w:p>
        </w:tc>
        <w:tc>
          <w:tcPr/>
          <w:p>
            <w:pPr>
              <w:pStyle w:val="Compact"/>
              <w:jc w:val="left"/>
            </w:pPr>
            <w:r>
              <w:t xml:space="preserve">I (55-56)</w:t>
            </w:r>
          </w:p>
        </w:tc>
        <w:tc>
          <w:tcPr/>
          <w:p>
            <w:pPr>
              <w:pStyle w:val="Compact"/>
              <w:jc w:val="left"/>
            </w:pPr>
            <w:r>
              <w:t xml:space="preserve">Dịch vụ phụ thuộc du lịch</w:t>
            </w:r>
          </w:p>
        </w:tc>
        <w:tc>
          <w:tcPr/>
          <w:p>
            <w:pPr>
              <w:pStyle w:val="Compact"/>
              <w:jc w:val="left"/>
            </w:pPr>
            <w:r>
              <w:t xml:space="preserve">FDI cao ở SIDS</w:t>
            </w:r>
          </w:p>
        </w:tc>
        <w:tc>
          <w:tcPr/>
          <w:p>
            <w:pPr>
              <w:pStyle w:val="Compact"/>
              <w:jc w:val="left"/>
            </w:pPr>
            <w:r>
              <w:rPr>
                <w:bCs/>
                <w:b/>
              </w:rPr>
              <w:t xml:space="preserve">Dynamism thị trường cao</w:t>
            </w:r>
          </w:p>
        </w:tc>
      </w:tr>
      <w:tr>
        <w:tc>
          <w:tcPr/>
          <w:p>
            <w:pPr>
              <w:pStyle w:val="Compact"/>
              <w:jc w:val="left"/>
            </w:pPr>
            <w:r>
              <w:t xml:space="preserve">Vận tải</w:t>
            </w:r>
          </w:p>
        </w:tc>
        <w:tc>
          <w:tcPr/>
          <w:p>
            <w:pPr>
              <w:pStyle w:val="Compact"/>
              <w:jc w:val="left"/>
            </w:pPr>
            <w:r>
              <w:t xml:space="preserve">H (49-53)</w:t>
            </w:r>
          </w:p>
        </w:tc>
        <w:tc>
          <w:tcPr/>
          <w:p>
            <w:pPr>
              <w:pStyle w:val="Compact"/>
              <w:jc w:val="left"/>
            </w:pPr>
            <w:r>
              <w:t xml:space="preserve">Kinh tế mạng lưới</w:t>
            </w:r>
          </w:p>
        </w:tc>
        <w:tc>
          <w:tcPr/>
          <w:p>
            <w:pPr>
              <w:pStyle w:val="Compact"/>
              <w:jc w:val="left"/>
            </w:pPr>
            <w:r>
              <w:t xml:space="preserve">FDI cao; ISO cao</w:t>
            </w:r>
          </w:p>
        </w:tc>
        <w:tc>
          <w:tcPr/>
          <w:p>
            <w:pPr>
              <w:pStyle w:val="Compact"/>
              <w:jc w:val="left"/>
            </w:pPr>
            <w:r>
              <w:t xml:space="preserve">Trung gian</w:t>
            </w:r>
          </w:p>
        </w:tc>
      </w:tr>
      <w:tr>
        <w:tc>
          <w:tcPr/>
          <w:p>
            <w:pPr>
              <w:pStyle w:val="Compact"/>
              <w:jc w:val="left"/>
            </w:pPr>
            <w:r>
              <w:t xml:space="preserve">ICT</w:t>
            </w:r>
          </w:p>
        </w:tc>
        <w:tc>
          <w:tcPr/>
          <w:p>
            <w:pPr>
              <w:pStyle w:val="Compact"/>
              <w:jc w:val="left"/>
            </w:pPr>
            <w:r>
              <w:t xml:space="preserve">J (58-63)</w:t>
            </w:r>
          </w:p>
        </w:tc>
        <w:tc>
          <w:tcPr/>
          <w:p>
            <w:pPr>
              <w:pStyle w:val="Compact"/>
              <w:jc w:val="left"/>
            </w:pPr>
            <w:r>
              <w:t xml:space="preserve">Thâm dụng tri thức</w:t>
            </w:r>
          </w:p>
        </w:tc>
        <w:tc>
          <w:tcPr/>
          <w:p>
            <w:pPr>
              <w:pStyle w:val="Compact"/>
              <w:jc w:val="left"/>
            </w:pPr>
            <w:r>
              <w:t xml:space="preserve">R&amp;D cao; website ~100%</w:t>
            </w:r>
          </w:p>
        </w:tc>
        <w:tc>
          <w:tcPr/>
          <w:p>
            <w:pPr>
              <w:pStyle w:val="Compact"/>
              <w:jc w:val="left"/>
            </w:pPr>
            <w:r>
              <w:rPr>
                <w:bCs/>
                <w:b/>
              </w:rPr>
              <w:t xml:space="preserve">Dynamism công nghệ cao</w:t>
            </w:r>
          </w:p>
        </w:tc>
      </w:tr>
      <w:tr>
        <w:tc>
          <w:tcPr/>
          <w:p>
            <w:pPr>
              <w:pStyle w:val="Compact"/>
              <w:jc w:val="left"/>
            </w:pPr>
            <w:r>
              <w:t xml:space="preserve">Xây dựng</w:t>
            </w:r>
          </w:p>
        </w:tc>
        <w:tc>
          <w:tcPr/>
          <w:p>
            <w:pPr>
              <w:pStyle w:val="Compact"/>
              <w:jc w:val="left"/>
            </w:pPr>
            <w:r>
              <w:t xml:space="preserve">F (41-43)</w:t>
            </w:r>
          </w:p>
        </w:tc>
        <w:tc>
          <w:tcPr/>
          <w:p>
            <w:pPr>
              <w:pStyle w:val="Compact"/>
              <w:jc w:val="left"/>
            </w:pPr>
            <w:r>
              <w:t xml:space="preserve">Theo dự án</w:t>
            </w:r>
          </w:p>
        </w:tc>
        <w:tc>
          <w:tcPr/>
          <w:p>
            <w:pPr>
              <w:pStyle w:val="Compact"/>
              <w:jc w:val="left"/>
            </w:pPr>
            <w:r>
              <w:t xml:space="preserve">FSTS thấp; FDI ở GCC</w:t>
            </w:r>
          </w:p>
        </w:tc>
        <w:tc>
          <w:tcPr/>
          <w:p>
            <w:pPr>
              <w:pStyle w:val="Compact"/>
              <w:jc w:val="left"/>
            </w:pPr>
            <w:r>
              <w:rPr>
                <w:bCs/>
                <w:b/>
              </w:rPr>
              <w:t xml:space="preserve">Dynamism thấp</w:t>
            </w:r>
          </w:p>
        </w:tc>
      </w:tr>
      <w:tr>
        <w:tc>
          <w:tcPr/>
          <w:p>
            <w:pPr>
              <w:pStyle w:val="Compact"/>
              <w:jc w:val="left"/>
            </w:pPr>
            <w:r>
              <w:t xml:space="preserve">Khai khoáng</w:t>
            </w:r>
          </w:p>
        </w:tc>
        <w:tc>
          <w:tcPr/>
          <w:p>
            <w:pPr>
              <w:pStyle w:val="Compact"/>
              <w:jc w:val="left"/>
            </w:pPr>
            <w:r>
              <w:t xml:space="preserve">B (05-09)</w:t>
            </w:r>
          </w:p>
        </w:tc>
        <w:tc>
          <w:tcPr/>
          <w:p>
            <w:pPr>
              <w:pStyle w:val="Compact"/>
              <w:jc w:val="left"/>
            </w:pPr>
            <w:r>
              <w:t xml:space="preserve">Tài nguyên dẫn dắt</w:t>
            </w:r>
          </w:p>
        </w:tc>
        <w:tc>
          <w:tcPr/>
          <w:p>
            <w:pPr>
              <w:pStyle w:val="Compact"/>
              <w:jc w:val="left"/>
            </w:pPr>
            <w:r>
              <w:t xml:space="preserve">FDI cao; ISO ở MNE</w:t>
            </w:r>
          </w:p>
        </w:tc>
        <w:tc>
          <w:tcPr/>
          <w:p>
            <w:pPr>
              <w:pStyle w:val="Compact"/>
              <w:jc w:val="left"/>
            </w:pPr>
            <w:r>
              <w:rPr>
                <w:bCs/>
                <w:b/>
              </w:rPr>
              <w:t xml:space="preserve">Dynamism công nghệ thấp</w:t>
            </w:r>
          </w:p>
        </w:tc>
      </w:tr>
      <w:tr>
        <w:tc>
          <w:tcPr/>
          <w:p>
            <w:pPr>
              <w:pStyle w:val="Compact"/>
              <w:jc w:val="left"/>
            </w:pPr>
            <w:r>
              <w:t xml:space="preserve">Tài chính</w:t>
            </w:r>
          </w:p>
        </w:tc>
        <w:tc>
          <w:tcPr/>
          <w:p>
            <w:pPr>
              <w:pStyle w:val="Compact"/>
              <w:jc w:val="left"/>
            </w:pPr>
            <w:r>
              <w:t xml:space="preserve">K (64-66)</w:t>
            </w:r>
          </w:p>
        </w:tc>
        <w:tc>
          <w:tcPr/>
          <w:p>
            <w:pPr>
              <w:pStyle w:val="Compact"/>
              <w:jc w:val="left"/>
            </w:pPr>
            <w:r>
              <w:t xml:space="preserve">Có quy chế, xuyên biên giới</w:t>
            </w:r>
          </w:p>
        </w:tc>
        <w:tc>
          <w:tcPr/>
          <w:p>
            <w:pPr>
              <w:pStyle w:val="Compact"/>
              <w:jc w:val="left"/>
            </w:pPr>
            <w:r>
              <w:t xml:space="preserve">FDI cao; website ~100%</w:t>
            </w:r>
          </w:p>
        </w:tc>
        <w:tc>
          <w:tcPr/>
          <w:p>
            <w:pPr>
              <w:pStyle w:val="Compact"/>
              <w:jc w:val="left"/>
            </w:pPr>
            <w:r>
              <w:rPr>
                <w:bCs/>
                <w:b/>
              </w:rPr>
              <w:t xml:space="preserve">Dynamism thị trường cao</w:t>
            </w:r>
          </w:p>
        </w:tc>
      </w:tr>
    </w:tbl>
    <w:p>
      <w:pPr>
        <w:pStyle w:val="BodyText"/>
      </w:pPr>
      <w:r>
        <w:t xml:space="preserve">Kafouros et al. (2023) chứng minh chất lượng thể chế tương tác hai chiều với dynamism ngành: ở ngành dynamism công nghệ cao, thể chế tốt khuếch đại hiệu quả; ở ngành dynamism thị trường cao, thể chế tốt có thể làm yếu hiệu quả (doanh nghiệp phải nội bộ hóa chức năng). Phát hiện này gợi ý hướng kiểm định cho Chuyên đề 2.</w:t>
      </w:r>
    </w:p>
    <w:bookmarkEnd w:id="54"/>
    <w:bookmarkStart w:id="55" w:name="phân-nhóm-con-emerging-dị-biệt-nội-bộ"/>
    <w:p>
      <w:pPr>
        <w:pStyle w:val="Heading4"/>
      </w:pPr>
      <w:r>
        <w:t xml:space="preserve">2.3.6.4 Phân nhóm con Emerging, dị biệt nội bộ</w:t>
      </w:r>
    </w:p>
    <w:p>
      <w:pPr>
        <w:pStyle w:val="FirstParagraph"/>
      </w:pPr>
      <w:r>
        <w:rPr>
          <w:bCs/>
          <w:b/>
        </w:rPr>
        <w:t xml:space="preserve">Bảng 2.3.6.4</w:t>
      </w:r>
      <w:r>
        <w:t xml:space="preserve">.</w:t>
      </w:r>
      <w:r>
        <w:t xml:space="preserve"> </w:t>
      </w:r>
      <w:r>
        <w:rPr>
          <w:iCs/>
          <w:i/>
        </w:rPr>
        <w:t xml:space="preserve">Phân nhóm con Emerging, số liệu tổng hợp 2009-2025 (n=47.803).</w:t>
      </w:r>
    </w:p>
    <w:tbl>
      <w:tblPr>
        <w:tblStyle w:val="Table"/>
        <w:tblW w:type="pct" w:w="5000"/>
        <w:tblLook w:firstRow="1" w:lastRow="0" w:firstColumn="0" w:lastColumn="0" w:noHBand="0" w:noVBand="0" w:val="0020"/>
        <w:jc w:val="start"/>
      </w:tblPr>
      <w:tblGrid>
        <w:gridCol w:w="792"/>
        <w:gridCol w:w="792"/>
        <w:gridCol w:w="792"/>
        <w:gridCol w:w="792"/>
        <w:gridCol w:w="792"/>
        <w:gridCol w:w="792"/>
        <w:gridCol w:w="792"/>
        <w:gridCol w:w="792"/>
        <w:gridCol w:w="792"/>
        <w:gridCol w:w="792"/>
      </w:tblGrid>
      <w:tr>
        <w:trPr>
          <w:tblHeader w:val="true"/>
        </w:trPr>
        <w:tc>
          <w:tcPr/>
          <w:p>
            <w:pPr>
              <w:pStyle w:val="Compact"/>
              <w:jc w:val="left"/>
            </w:pPr>
            <w:r>
              <w:t xml:space="preserve">Phân nhóm con</w:t>
            </w:r>
          </w:p>
        </w:tc>
        <w:tc>
          <w:tcPr/>
          <w:p>
            <w:pPr>
              <w:pStyle w:val="Compact"/>
              <w:jc w:val="left"/>
            </w:pPr>
            <w:r>
              <w:t xml:space="preserve">Quốc gia</w:t>
            </w:r>
          </w:p>
        </w:tc>
        <w:tc>
          <w:tcPr/>
          <w:p>
            <w:pPr>
              <w:pStyle w:val="Compact"/>
              <w:jc w:val="left"/>
            </w:pPr>
            <w:r>
              <w:t xml:space="preserve">n_firms</w:t>
            </w:r>
          </w:p>
        </w:tc>
        <w:tc>
          <w:tcPr/>
          <w:p>
            <w:pPr>
              <w:pStyle w:val="Compact"/>
              <w:jc w:val="left"/>
            </w:pPr>
            <w:r>
              <w:t xml:space="preserve">FSTS (%)</w:t>
            </w:r>
          </w:p>
        </w:tc>
        <w:tc>
          <w:tcPr/>
          <w:p>
            <w:pPr>
              <w:pStyle w:val="Compact"/>
              <w:jc w:val="left"/>
            </w:pPr>
            <w:r>
              <w:t xml:space="preserve">DN xuất khẩu (%)</w:t>
            </w:r>
          </w:p>
        </w:tc>
        <w:tc>
          <w:tcPr/>
          <w:p>
            <w:pPr>
              <w:pStyle w:val="Compact"/>
              <w:jc w:val="left"/>
            </w:pPr>
            <w:r>
              <w:t xml:space="preserve">FDI $</w:t>
            </w:r>
            <w:r>
              <w:t xml:space="preserve">$10% (%)</w:t>
            </w:r>
          </w:p>
        </w:tc>
        <w:tc>
          <w:tcPr/>
          <w:p>
            <w:pPr>
              <w:pStyle w:val="Compact"/>
              <w:jc w:val="left"/>
            </w:pPr>
            <w:r>
              <w:t xml:space="preserve">Website (%)</w:t>
            </w:r>
          </w:p>
        </w:tc>
        <w:tc>
          <w:tcPr/>
          <w:p>
            <w:pPr>
              <w:pStyle w:val="Compact"/>
              <w:jc w:val="left"/>
            </w:pPr>
            <w:r>
              <w:t xml:space="preserve">R&amp;D (%)</w:t>
            </w:r>
          </w:p>
        </w:tc>
        <w:tc>
          <w:tcPr/>
          <w:p>
            <w:pPr>
              <w:pStyle w:val="Compact"/>
              <w:jc w:val="left"/>
            </w:pPr>
            <w:r>
              <w:t xml:space="preserve">ISO (%)</w:t>
            </w:r>
          </w:p>
        </w:tc>
        <w:tc>
          <w:tcPr/>
          <w:p>
            <w:pPr>
              <w:pStyle w:val="Compact"/>
              <w:jc w:val="left"/>
            </w:pPr>
            <w:r>
              <w:t xml:space="preserve">sd log</w:t>
            </w:r>
          </w:p>
        </w:tc>
      </w:tr>
      <w:tr>
        <w:tc>
          <w:tcPr/>
          <w:p>
            <w:pPr>
              <w:pStyle w:val="Compact"/>
              <w:jc w:val="left"/>
            </w:pPr>
            <w:r>
              <w:t xml:space="preserve">Emerging, FDI dẫn dắt SEA</w:t>
            </w:r>
          </w:p>
        </w:tc>
        <w:tc>
          <w:tcPr/>
          <w:p>
            <w:pPr>
              <w:pStyle w:val="Compact"/>
              <w:jc w:val="left"/>
            </w:pPr>
            <w:r>
              <w:t xml:space="preserve">VNM, IDN, PHL</w:t>
            </w:r>
          </w:p>
        </w:tc>
        <w:tc>
          <w:tcPr/>
          <w:p>
            <w:pPr>
              <w:pStyle w:val="Compact"/>
              <w:jc w:val="left"/>
            </w:pPr>
            <w:r>
              <w:t xml:space="preserve">13.779</w:t>
            </w:r>
          </w:p>
        </w:tc>
        <w:tc>
          <w:tcPr/>
          <w:p>
            <w:pPr>
              <w:pStyle w:val="Compact"/>
              <w:jc w:val="left"/>
            </w:pPr>
            <w:r>
              <w:rPr>
                <w:bCs/>
                <w:b/>
              </w:rPr>
              <w:t xml:space="preserve">13,2</w:t>
            </w:r>
          </w:p>
        </w:tc>
        <w:tc>
          <w:tcPr/>
          <w:p>
            <w:pPr>
              <w:pStyle w:val="Compact"/>
              <w:jc w:val="left"/>
            </w:pPr>
            <w:r>
              <w:t xml:space="preserve">22,1</w:t>
            </w:r>
          </w:p>
        </w:tc>
        <w:tc>
          <w:tcPr/>
          <w:p>
            <w:pPr>
              <w:pStyle w:val="Compact"/>
              <w:jc w:val="left"/>
            </w:pPr>
            <w:r>
              <w:t xml:space="preserve">11,4</w:t>
            </w:r>
          </w:p>
        </w:tc>
        <w:tc>
          <w:tcPr/>
          <w:p>
            <w:pPr>
              <w:pStyle w:val="Compact"/>
              <w:jc w:val="left"/>
            </w:pPr>
            <w:r>
              <w:t xml:space="preserve">47,3</w:t>
            </w:r>
          </w:p>
        </w:tc>
        <w:tc>
          <w:tcPr/>
          <w:p>
            <w:pPr>
              <w:pStyle w:val="Compact"/>
              <w:jc w:val="left"/>
            </w:pPr>
            <w:r>
              <w:t xml:space="preserve">4,8</w:t>
            </w:r>
          </w:p>
        </w:tc>
        <w:tc>
          <w:tcPr/>
          <w:p>
            <w:pPr>
              <w:pStyle w:val="Compact"/>
              <w:jc w:val="left"/>
            </w:pPr>
            <w:r>
              <w:t xml:space="preserve">18,8</w:t>
            </w:r>
          </w:p>
        </w:tc>
        <w:tc>
          <w:tcPr/>
          <w:p>
            <w:pPr>
              <w:pStyle w:val="Compact"/>
              <w:jc w:val="left"/>
            </w:pPr>
            <w:r>
              <w:t xml:space="preserve">1,53</w:t>
            </w:r>
          </w:p>
        </w:tc>
      </w:tr>
      <w:tr>
        <w:tc>
          <w:tcPr/>
          <w:p>
            <w:pPr>
              <w:pStyle w:val="Compact"/>
              <w:jc w:val="left"/>
            </w:pPr>
            <w:r>
              <w:t xml:space="preserve">Emerging, dân số lớn</w:t>
            </w:r>
          </w:p>
        </w:tc>
        <w:tc>
          <w:tcPr/>
          <w:p>
            <w:pPr>
              <w:pStyle w:val="Compact"/>
              <w:jc w:val="left"/>
            </w:pPr>
            <w:r>
              <w:t xml:space="preserve">IND, LKA, JOR</w:t>
            </w:r>
          </w:p>
        </w:tc>
        <w:tc>
          <w:tcPr/>
          <w:p>
            <w:pPr>
              <w:pStyle w:val="Compact"/>
              <w:jc w:val="left"/>
            </w:pPr>
            <w:r>
              <w:t xml:space="preserve">32.119</w:t>
            </w:r>
          </w:p>
        </w:tc>
        <w:tc>
          <w:tcPr/>
          <w:p>
            <w:pPr>
              <w:pStyle w:val="Compact"/>
              <w:jc w:val="left"/>
            </w:pPr>
            <w:r>
              <w:rPr>
                <w:bCs/>
                <w:b/>
              </w:rPr>
              <w:t xml:space="preserve">7,2</w:t>
            </w:r>
          </w:p>
        </w:tc>
        <w:tc>
          <w:tcPr/>
          <w:p>
            <w:pPr>
              <w:pStyle w:val="Compact"/>
              <w:jc w:val="left"/>
            </w:pPr>
            <w:r>
              <w:t xml:space="preserve">13,8</w:t>
            </w:r>
          </w:p>
        </w:tc>
        <w:tc>
          <w:tcPr/>
          <w:p>
            <w:pPr>
              <w:pStyle w:val="Compact"/>
              <w:jc w:val="left"/>
            </w:pPr>
            <w:r>
              <w:t xml:space="preserve">1,9</w:t>
            </w:r>
          </w:p>
        </w:tc>
        <w:tc>
          <w:tcPr/>
          <w:p>
            <w:pPr>
              <w:pStyle w:val="Compact"/>
              <w:jc w:val="left"/>
            </w:pPr>
            <w:r>
              <w:t xml:space="preserve">49,5</w:t>
            </w:r>
          </w:p>
        </w:tc>
        <w:tc>
          <w:tcPr/>
          <w:p>
            <w:pPr>
              <w:pStyle w:val="Compact"/>
              <w:jc w:val="left"/>
            </w:pPr>
            <w:r>
              <w:t xml:space="preserve">19,8</w:t>
            </w:r>
          </w:p>
        </w:tc>
        <w:tc>
          <w:tcPr/>
          <w:p>
            <w:pPr>
              <w:pStyle w:val="Compact"/>
              <w:jc w:val="left"/>
            </w:pPr>
            <w:r>
              <w:t xml:space="preserve">27,6</w:t>
            </w:r>
          </w:p>
        </w:tc>
        <w:tc>
          <w:tcPr/>
          <w:p>
            <w:pPr>
              <w:pStyle w:val="Compact"/>
              <w:jc w:val="left"/>
            </w:pPr>
            <w:r>
              <w:t xml:space="preserve">1,16</w:t>
            </w:r>
          </w:p>
        </w:tc>
      </w:tr>
      <w:tr>
        <w:tc>
          <w:tcPr/>
          <w:p>
            <w:pPr>
              <w:pStyle w:val="Compact"/>
              <w:jc w:val="left"/>
            </w:pPr>
            <w:r>
              <w:t xml:space="preserve">Emerging, tài nguyên</w:t>
            </w:r>
          </w:p>
        </w:tc>
        <w:tc>
          <w:tcPr/>
          <w:p>
            <w:pPr>
              <w:pStyle w:val="Compact"/>
              <w:jc w:val="left"/>
            </w:pPr>
            <w:r>
              <w:t xml:space="preserve">MNG</w:t>
            </w:r>
          </w:p>
        </w:tc>
        <w:tc>
          <w:tcPr/>
          <w:p>
            <w:pPr>
              <w:pStyle w:val="Compact"/>
              <w:jc w:val="left"/>
            </w:pPr>
            <w:r>
              <w:t xml:space="preserve">1.905</w:t>
            </w:r>
          </w:p>
        </w:tc>
        <w:tc>
          <w:tcPr/>
          <w:p>
            <w:pPr>
              <w:pStyle w:val="Compact"/>
              <w:jc w:val="left"/>
            </w:pPr>
            <w:r>
              <w:rPr>
                <w:bCs/>
                <w:b/>
              </w:rPr>
              <w:t xml:space="preserve">5,0</w:t>
            </w:r>
          </w:p>
        </w:tc>
        <w:tc>
          <w:tcPr/>
          <w:p>
            <w:pPr>
              <w:pStyle w:val="Compact"/>
              <w:jc w:val="left"/>
            </w:pPr>
            <w:r>
              <w:t xml:space="preserve">9,7</w:t>
            </w:r>
          </w:p>
        </w:tc>
        <w:tc>
          <w:tcPr/>
          <w:p>
            <w:pPr>
              <w:pStyle w:val="Compact"/>
              <w:jc w:val="left"/>
            </w:pPr>
            <w:r>
              <w:t xml:space="preserve">4,7</w:t>
            </w:r>
          </w:p>
        </w:tc>
        <w:tc>
          <w:tcPr/>
          <w:p>
            <w:pPr>
              <w:pStyle w:val="Compact"/>
              <w:jc w:val="left"/>
            </w:pPr>
            <w:r>
              <w:t xml:space="preserve">50,1</w:t>
            </w:r>
          </w:p>
        </w:tc>
        <w:tc>
          <w:tcPr/>
          <w:p>
            <w:pPr>
              <w:pStyle w:val="Compact"/>
              <w:jc w:val="left"/>
            </w:pPr>
            <w:r>
              <w:t xml:space="preserve">20,8</w:t>
            </w:r>
          </w:p>
        </w:tc>
        <w:tc>
          <w:tcPr/>
          <w:p>
            <w:pPr>
              <w:pStyle w:val="Compact"/>
              <w:jc w:val="left"/>
            </w:pPr>
            <w:r>
              <w:t xml:space="preserve">15,4</w:t>
            </w:r>
          </w:p>
        </w:tc>
        <w:tc>
          <w:tcPr/>
          <w:p>
            <w:pPr>
              <w:pStyle w:val="Compact"/>
              <w:jc w:val="left"/>
            </w:pPr>
            <w:r>
              <w:t xml:space="preserve">1,16</w:t>
            </w:r>
          </w:p>
        </w:tc>
      </w:tr>
      <w:tr>
        <w:tc>
          <w:tcPr/>
          <w:p>
            <w:pPr>
              <w:pStyle w:val="Compact"/>
              <w:jc w:val="left"/>
            </w:pPr>
            <w:r>
              <w:rPr>
                <w:bCs/>
                <w:b/>
              </w:rPr>
              <w:t xml:space="preserve">Tổng Emerging</w:t>
            </w:r>
          </w:p>
        </w:tc>
        <w:tc>
          <w:tcPr/>
          <w:p>
            <w:pPr>
              <w:pStyle w:val="Compact"/>
              <w:jc w:val="left"/>
            </w:pPr>
            <w:r>
              <w:t xml:space="preserve">7 nước</w:t>
            </w:r>
          </w:p>
        </w:tc>
        <w:tc>
          <w:tcPr/>
          <w:p>
            <w:pPr>
              <w:pStyle w:val="Compact"/>
              <w:jc w:val="left"/>
            </w:pPr>
            <w:r>
              <w:rPr>
                <w:bCs/>
                <w:b/>
              </w:rPr>
              <w:t xml:space="preserve">47.803</w:t>
            </w:r>
          </w:p>
        </w:tc>
        <w:tc>
          <w:tcPr/>
          <w:p>
            <w:pPr>
              <w:pStyle w:val="Compact"/>
              <w:jc w:val="left"/>
            </w:pPr>
            <w:r>
              <w:t xml:space="preserve">8,6</w:t>
            </w:r>
          </w:p>
        </w:tc>
        <w:tc>
          <w:tcPr/>
          <w:p>
            <w:pPr>
              <w:pStyle w:val="Compact"/>
              <w:jc w:val="left"/>
            </w:pPr>
            <w:r>
              <w:t xml:space="preserve">15,5</w:t>
            </w:r>
          </w:p>
        </w:tc>
        <w:tc>
          <w:tcPr/>
          <w:p>
            <w:pPr>
              <w:pStyle w:val="Compact"/>
              <w:jc w:val="left"/>
            </w:pPr>
            <w:r>
              <w:t xml:space="preserve">4,7</w:t>
            </w:r>
          </w:p>
        </w:tc>
        <w:tc>
          <w:tcPr/>
          <w:p>
            <w:pPr>
              <w:pStyle w:val="Compact"/>
              <w:jc w:val="left"/>
            </w:pPr>
            <w:r>
              <w:t xml:space="preserve">49,2</w:t>
            </w:r>
          </w:p>
        </w:tc>
        <w:tc>
          <w:tcPr/>
          <w:p>
            <w:pPr>
              <w:pStyle w:val="Compact"/>
              <w:jc w:val="left"/>
            </w:pPr>
            <w:r>
              <w:t xml:space="preserve">16,4</w:t>
            </w:r>
          </w:p>
        </w:tc>
        <w:tc>
          <w:tcPr/>
          <w:p>
            <w:pPr>
              <w:pStyle w:val="Compact"/>
              <w:jc w:val="left"/>
            </w:pPr>
            <w:r>
              <w:t xml:space="preserve">24,9</w:t>
            </w:r>
          </w:p>
        </w:tc>
        <w:tc>
          <w:tcPr/>
          <w:p>
            <w:pPr>
              <w:pStyle w:val="Compact"/>
              <w:jc w:val="left"/>
            </w:pPr>
            <w:r>
              <w:t xml:space="preserve">1,24</w:t>
            </w:r>
          </w:p>
        </w:tc>
      </w:tr>
    </w:tbl>
    <w:p>
      <w:pPr>
        <w:pStyle w:val="BodyText"/>
      </w:pPr>
      <w:r>
        <w:t xml:space="preserve">Năm phát hiện: (1) FSTS phân tầng 5,0%-7,2%-13,2% bị che giấu khi gộp; (2) FDI chênh lệch 6 lần giữa ASEAN-3 và Nam Á + Tây Á; (3) TCI ngược dấu trong nội bộ nhóm; (4) Mông Cổ là trường hợp biên với đặc điểm tài nguyên; (5) độ lệch chuẩn log 1,53 so với 1,16, phân tầng hai tầng trong mẫu con FDI dẫn dắt (Hsieh &amp; Klenow, 2009).</w:t>
      </w:r>
    </w:p>
    <w:bookmarkEnd w:id="55"/>
    <w:bookmarkStart w:id="56" w:name="phân-tích-sâu-đợt-khảo-sát-2025"/>
    <w:p>
      <w:pPr>
        <w:pStyle w:val="Heading4"/>
      </w:pPr>
      <w:r>
        <w:t xml:space="preserve">2.3.6.5 Phân tích sâu đợt khảo sát 2025</w:t>
      </w:r>
    </w:p>
    <w:p>
      <w:pPr>
        <w:pStyle w:val="FirstParagraph"/>
      </w:pPr>
      <w:r>
        <w:rPr>
          <w:bCs/>
          <w:b/>
        </w:rPr>
        <w:t xml:space="preserve">Bảng 2.3.6.5</w:t>
      </w:r>
      <w:r>
        <w:t xml:space="preserve">.</w:t>
      </w:r>
      <w:r>
        <w:t xml:space="preserve"> </w:t>
      </w:r>
      <w:r>
        <w:rPr>
          <w:iCs/>
          <w:i/>
        </w:rPr>
        <w:t xml:space="preserve">14 quốc gia trong đợt 2025 (n=17.053, bao gồm Kiribati 2025 và Nepal 2025). Ghi chú: Nepal 2025 sử dụng BREADY Micro schema, FSTS</w:t>
      </w:r>
      <w:r>
        <w:t xml:space="preserve">, Website† và FDI/R&amp;D (-) không tương đương trực tiếp với WBES chuẩn; trung bình Tổng 2025 tính trên 13 quốc gia WBES chuẩn.*</w:t>
      </w:r>
    </w:p>
    <w:tbl>
      <w:tblPr>
        <w:tblStyle w:val="Table"/>
        <w:tblW w:type="pct" w:w="5000"/>
        <w:tblLook w:firstRow="1" w:lastRow="0" w:firstColumn="0" w:lastColumn="0" w:noHBand="0" w:noVBand="0" w:val="0020"/>
        <w:jc w:val="start"/>
      </w:tblPr>
      <w:tblGrid>
        <w:gridCol w:w="879"/>
        <w:gridCol w:w="879"/>
        <w:gridCol w:w="879"/>
        <w:gridCol w:w="879"/>
        <w:gridCol w:w="879"/>
        <w:gridCol w:w="879"/>
        <w:gridCol w:w="879"/>
        <w:gridCol w:w="879"/>
        <w:gridCol w:w="879"/>
      </w:tblGrid>
      <w:tr>
        <w:trPr>
          <w:tblHeader w:val="true"/>
        </w:trPr>
        <w:tc>
          <w:tcPr/>
          <w:p>
            <w:pPr>
              <w:pStyle w:val="Compact"/>
              <w:jc w:val="left"/>
            </w:pPr>
            <w:r>
              <w:t xml:space="preserve">Quốc gia</w:t>
            </w:r>
          </w:p>
        </w:tc>
        <w:tc>
          <w:tcPr/>
          <w:p>
            <w:pPr>
              <w:pStyle w:val="Compact"/>
              <w:jc w:val="left"/>
            </w:pPr>
            <w:r>
              <w:t xml:space="preserve">ISO3</w:t>
            </w:r>
          </w:p>
        </w:tc>
        <w:tc>
          <w:tcPr/>
          <w:p>
            <w:pPr>
              <w:pStyle w:val="Compact"/>
              <w:jc w:val="left"/>
            </w:pPr>
            <w:r>
              <w:t xml:space="preserve">Phân nhóm con</w:t>
            </w:r>
          </w:p>
        </w:tc>
        <w:tc>
          <w:tcPr/>
          <w:p>
            <w:pPr>
              <w:pStyle w:val="Compact"/>
              <w:jc w:val="left"/>
            </w:pPr>
            <w:r>
              <w:t xml:space="preserve">n_firms</w:t>
            </w:r>
          </w:p>
        </w:tc>
        <w:tc>
          <w:tcPr/>
          <w:p>
            <w:pPr>
              <w:pStyle w:val="Compact"/>
              <w:jc w:val="left"/>
            </w:pPr>
            <w:r>
              <w:t xml:space="preserve">FSTS (%)</w:t>
            </w:r>
          </w:p>
        </w:tc>
        <w:tc>
          <w:tcPr/>
          <w:p>
            <w:pPr>
              <w:pStyle w:val="Compact"/>
              <w:jc w:val="left"/>
            </w:pPr>
            <w:r>
              <w:t xml:space="preserve">FDI (%)</w:t>
            </w:r>
          </w:p>
        </w:tc>
        <w:tc>
          <w:tcPr/>
          <w:p>
            <w:pPr>
              <w:pStyle w:val="Compact"/>
              <w:jc w:val="left"/>
            </w:pPr>
            <w:r>
              <w:t xml:space="preserve">R&amp;D (%)</w:t>
            </w:r>
          </w:p>
        </w:tc>
        <w:tc>
          <w:tcPr/>
          <w:p>
            <w:pPr>
              <w:pStyle w:val="Compact"/>
              <w:jc w:val="left"/>
            </w:pPr>
            <w:r>
              <w:t xml:space="preserve">Website (%)</w:t>
            </w:r>
          </w:p>
        </w:tc>
        <w:tc>
          <w:tcPr/>
          <w:p>
            <w:pPr>
              <w:pStyle w:val="Compact"/>
              <w:jc w:val="left"/>
            </w:pPr>
            <w:r>
              <w:t xml:space="preserve">sd log</w:t>
            </w:r>
          </w:p>
        </w:tc>
      </w:tr>
      <w:tr>
        <w:tc>
          <w:tcPr/>
          <w:p>
            <w:pPr>
              <w:pStyle w:val="Compact"/>
              <w:jc w:val="left"/>
            </w:pPr>
            <w:r>
              <w:t xml:space="preserve">Ấn Độ</w:t>
            </w:r>
          </w:p>
        </w:tc>
        <w:tc>
          <w:tcPr/>
          <w:p>
            <w:pPr>
              <w:pStyle w:val="Compact"/>
              <w:jc w:val="left"/>
            </w:pPr>
            <w:r>
              <w:t xml:space="preserve">IND</w:t>
            </w:r>
          </w:p>
        </w:tc>
        <w:tc>
          <w:tcPr/>
          <w:p>
            <w:pPr>
              <w:pStyle w:val="Compact"/>
              <w:jc w:val="left"/>
            </w:pPr>
            <w:r>
              <w:t xml:space="preserve">Emerging</w:t>
            </w:r>
          </w:p>
        </w:tc>
        <w:tc>
          <w:tcPr/>
          <w:p>
            <w:pPr>
              <w:pStyle w:val="Compact"/>
              <w:jc w:val="left"/>
            </w:pPr>
            <w:r>
              <w:t xml:space="preserve">10.479</w:t>
            </w:r>
          </w:p>
        </w:tc>
        <w:tc>
          <w:tcPr/>
          <w:p>
            <w:pPr>
              <w:pStyle w:val="Compact"/>
              <w:jc w:val="left"/>
            </w:pPr>
            <w:r>
              <w:t xml:space="preserve">2,7</w:t>
            </w:r>
          </w:p>
        </w:tc>
        <w:tc>
          <w:tcPr/>
          <w:p>
            <w:pPr>
              <w:pStyle w:val="Compact"/>
              <w:jc w:val="left"/>
            </w:pPr>
            <w:r>
              <w:t xml:space="preserve">1,9</w:t>
            </w:r>
          </w:p>
        </w:tc>
        <w:tc>
          <w:tcPr/>
          <w:p>
            <w:pPr>
              <w:pStyle w:val="Compact"/>
              <w:jc w:val="left"/>
            </w:pPr>
            <w:r>
              <w:t xml:space="preserve">2,2</w:t>
            </w:r>
          </w:p>
        </w:tc>
        <w:tc>
          <w:tcPr/>
          <w:p>
            <w:pPr>
              <w:pStyle w:val="Compact"/>
              <w:jc w:val="left"/>
            </w:pPr>
            <w:r>
              <w:t xml:space="preserve">41,8</w:t>
            </w:r>
          </w:p>
        </w:tc>
        <w:tc>
          <w:tcPr/>
          <w:p>
            <w:pPr>
              <w:pStyle w:val="Compact"/>
              <w:jc w:val="left"/>
            </w:pPr>
            <w:r>
              <w:t xml:space="preserve">0,86</w:t>
            </w:r>
          </w:p>
        </w:tc>
      </w:tr>
      <w:tr>
        <w:tc>
          <w:tcPr/>
          <w:p>
            <w:pPr>
              <w:pStyle w:val="Compact"/>
              <w:jc w:val="left"/>
            </w:pPr>
            <w:r>
              <w:t xml:space="preserve">Saudi Arabia</w:t>
            </w:r>
          </w:p>
        </w:tc>
        <w:tc>
          <w:tcPr/>
          <w:p>
            <w:pPr>
              <w:pStyle w:val="Compact"/>
              <w:jc w:val="left"/>
            </w:pPr>
            <w:r>
              <w:t xml:space="preserve">SAU</w:t>
            </w:r>
          </w:p>
        </w:tc>
        <w:tc>
          <w:tcPr/>
          <w:p>
            <w:pPr>
              <w:pStyle w:val="Compact"/>
              <w:jc w:val="left"/>
            </w:pPr>
            <w:r>
              <w:t xml:space="preserve">Advanced</w:t>
            </w:r>
          </w:p>
        </w:tc>
        <w:tc>
          <w:tcPr/>
          <w:p>
            <w:pPr>
              <w:pStyle w:val="Compact"/>
              <w:jc w:val="left"/>
            </w:pPr>
            <w:r>
              <w:t xml:space="preserve">1.002</w:t>
            </w:r>
          </w:p>
        </w:tc>
        <w:tc>
          <w:tcPr/>
          <w:p>
            <w:pPr>
              <w:pStyle w:val="Compact"/>
              <w:jc w:val="left"/>
            </w:pPr>
            <w:r>
              <w:t xml:space="preserve">2,7</w:t>
            </w:r>
          </w:p>
        </w:tc>
        <w:tc>
          <w:tcPr/>
          <w:p>
            <w:pPr>
              <w:pStyle w:val="Compact"/>
              <w:jc w:val="left"/>
            </w:pPr>
            <w:r>
              <w:t xml:space="preserve">9,5</w:t>
            </w:r>
          </w:p>
        </w:tc>
        <w:tc>
          <w:tcPr/>
          <w:p>
            <w:pPr>
              <w:pStyle w:val="Compact"/>
              <w:jc w:val="left"/>
            </w:pPr>
            <w:r>
              <w:t xml:space="preserve">1,7</w:t>
            </w:r>
          </w:p>
        </w:tc>
        <w:tc>
          <w:tcPr/>
          <w:p>
            <w:pPr>
              <w:pStyle w:val="Compact"/>
              <w:jc w:val="left"/>
            </w:pPr>
            <w:r>
              <w:t xml:space="preserve">30,2</w:t>
            </w:r>
          </w:p>
        </w:tc>
        <w:tc>
          <w:tcPr/>
          <w:p>
            <w:pPr>
              <w:pStyle w:val="Compact"/>
              <w:jc w:val="left"/>
            </w:pPr>
            <w:r>
              <w:rPr>
                <w:bCs/>
                <w:b/>
              </w:rPr>
              <w:t xml:space="preserve">0,49</w:t>
            </w:r>
          </w:p>
        </w:tc>
      </w:tr>
      <w:tr>
        <w:tc>
          <w:tcPr/>
          <w:p>
            <w:pPr>
              <w:pStyle w:val="Compact"/>
              <w:jc w:val="left"/>
            </w:pPr>
            <w:r>
              <w:t xml:space="preserve">Thái Lan</w:t>
            </w:r>
          </w:p>
        </w:tc>
        <w:tc>
          <w:tcPr/>
          <w:p>
            <w:pPr>
              <w:pStyle w:val="Compact"/>
              <w:jc w:val="left"/>
            </w:pPr>
            <w:r>
              <w:t xml:space="preserve">THA</w:t>
            </w:r>
          </w:p>
        </w:tc>
        <w:tc>
          <w:tcPr/>
          <w:p>
            <w:pPr>
              <w:pStyle w:val="Compact"/>
              <w:jc w:val="left"/>
            </w:pPr>
            <w:r>
              <w:t xml:space="preserve">Upper-middle</w:t>
            </w:r>
          </w:p>
        </w:tc>
        <w:tc>
          <w:tcPr/>
          <w:p>
            <w:pPr>
              <w:pStyle w:val="Compact"/>
              <w:jc w:val="left"/>
            </w:pPr>
            <w:r>
              <w:t xml:space="preserve">813</w:t>
            </w:r>
          </w:p>
        </w:tc>
        <w:tc>
          <w:tcPr/>
          <w:p>
            <w:pPr>
              <w:pStyle w:val="Compact"/>
              <w:jc w:val="left"/>
            </w:pPr>
            <w:r>
              <w:t xml:space="preserve">9,2</w:t>
            </w:r>
          </w:p>
        </w:tc>
        <w:tc>
          <w:tcPr/>
          <w:p>
            <w:pPr>
              <w:pStyle w:val="Compact"/>
              <w:jc w:val="left"/>
            </w:pPr>
            <w:r>
              <w:t xml:space="preserve">6,3</w:t>
            </w:r>
          </w:p>
        </w:tc>
        <w:tc>
          <w:tcPr/>
          <w:p>
            <w:pPr>
              <w:pStyle w:val="Compact"/>
              <w:jc w:val="left"/>
            </w:pPr>
            <w:r>
              <w:t xml:space="preserve">8,7</w:t>
            </w:r>
          </w:p>
        </w:tc>
        <w:tc>
          <w:tcPr/>
          <w:p>
            <w:pPr>
              <w:pStyle w:val="Compact"/>
              <w:jc w:val="left"/>
            </w:pPr>
            <w:r>
              <w:t xml:space="preserve">61,9</w:t>
            </w:r>
          </w:p>
        </w:tc>
        <w:tc>
          <w:tcPr/>
          <w:p>
            <w:pPr>
              <w:pStyle w:val="Compact"/>
              <w:jc w:val="left"/>
            </w:pPr>
            <w:r>
              <w:t xml:space="preserve">1,49</w:t>
            </w:r>
          </w:p>
        </w:tc>
      </w:tr>
      <w:tr>
        <w:tc>
          <w:tcPr/>
          <w:p>
            <w:pPr>
              <w:pStyle w:val="Compact"/>
              <w:jc w:val="left"/>
            </w:pPr>
            <w:r>
              <w:t xml:space="preserve">Sri Lanka</w:t>
            </w:r>
          </w:p>
        </w:tc>
        <w:tc>
          <w:tcPr/>
          <w:p>
            <w:pPr>
              <w:pStyle w:val="Compact"/>
              <w:jc w:val="left"/>
            </w:pPr>
            <w:r>
              <w:t xml:space="preserve">LKA</w:t>
            </w:r>
          </w:p>
        </w:tc>
        <w:tc>
          <w:tcPr/>
          <w:p>
            <w:pPr>
              <w:pStyle w:val="Compact"/>
              <w:jc w:val="left"/>
            </w:pPr>
            <w:r>
              <w:t xml:space="preserve">Emerging</w:t>
            </w:r>
          </w:p>
        </w:tc>
        <w:tc>
          <w:tcPr/>
          <w:p>
            <w:pPr>
              <w:pStyle w:val="Compact"/>
              <w:jc w:val="left"/>
            </w:pPr>
            <w:r>
              <w:t xml:space="preserve">607</w:t>
            </w:r>
          </w:p>
        </w:tc>
        <w:tc>
          <w:tcPr/>
          <w:p>
            <w:pPr>
              <w:pStyle w:val="Compact"/>
              <w:jc w:val="left"/>
            </w:pPr>
            <w:r>
              <w:t xml:space="preserve">16,1</w:t>
            </w:r>
          </w:p>
        </w:tc>
        <w:tc>
          <w:tcPr/>
          <w:p>
            <w:pPr>
              <w:pStyle w:val="Compact"/>
              <w:jc w:val="left"/>
            </w:pPr>
            <w:r>
              <w:t xml:space="preserve">1,8</w:t>
            </w:r>
          </w:p>
        </w:tc>
        <w:tc>
          <w:tcPr/>
          <w:p>
            <w:pPr>
              <w:pStyle w:val="Compact"/>
              <w:jc w:val="left"/>
            </w:pPr>
            <w:r>
              <w:t xml:space="preserve">4,1</w:t>
            </w:r>
          </w:p>
        </w:tc>
        <w:tc>
          <w:tcPr/>
          <w:p>
            <w:pPr>
              <w:pStyle w:val="Compact"/>
              <w:jc w:val="left"/>
            </w:pPr>
            <w:r>
              <w:t xml:space="preserve">48,8</w:t>
            </w:r>
          </w:p>
        </w:tc>
        <w:tc>
          <w:tcPr/>
          <w:p>
            <w:pPr>
              <w:pStyle w:val="Compact"/>
              <w:jc w:val="left"/>
            </w:pPr>
            <w:r>
              <w:t xml:space="preserve">1,21</w:t>
            </w:r>
          </w:p>
        </w:tc>
      </w:tr>
      <w:tr>
        <w:tc>
          <w:tcPr/>
          <w:p>
            <w:pPr>
              <w:pStyle w:val="Compact"/>
              <w:jc w:val="left"/>
            </w:pPr>
            <w:r>
              <w:t xml:space="preserve">Mông Cổ</w:t>
            </w:r>
          </w:p>
        </w:tc>
        <w:tc>
          <w:tcPr/>
          <w:p>
            <w:pPr>
              <w:pStyle w:val="Compact"/>
              <w:jc w:val="left"/>
            </w:pPr>
            <w:r>
              <w:t xml:space="preserve">MNG</w:t>
            </w:r>
          </w:p>
        </w:tc>
        <w:tc>
          <w:tcPr/>
          <w:p>
            <w:pPr>
              <w:pStyle w:val="Compact"/>
              <w:jc w:val="left"/>
            </w:pPr>
            <w:r>
              <w:t xml:space="preserve">Emerging</w:t>
            </w:r>
          </w:p>
        </w:tc>
        <w:tc>
          <w:tcPr/>
          <w:p>
            <w:pPr>
              <w:pStyle w:val="Compact"/>
              <w:jc w:val="left"/>
            </w:pPr>
            <w:r>
              <w:t xml:space="preserve">601</w:t>
            </w:r>
          </w:p>
        </w:tc>
        <w:tc>
          <w:tcPr/>
          <w:p>
            <w:pPr>
              <w:pStyle w:val="Compact"/>
              <w:jc w:val="left"/>
            </w:pPr>
            <w:r>
              <w:t xml:space="preserve">5,9</w:t>
            </w:r>
          </w:p>
        </w:tc>
        <w:tc>
          <w:tcPr/>
          <w:p>
            <w:pPr>
              <w:pStyle w:val="Compact"/>
              <w:jc w:val="left"/>
            </w:pPr>
            <w:r>
              <w:t xml:space="preserve">3,2</w:t>
            </w:r>
          </w:p>
        </w:tc>
        <w:tc>
          <w:tcPr/>
          <w:p>
            <w:pPr>
              <w:pStyle w:val="Compact"/>
              <w:jc w:val="left"/>
            </w:pPr>
            <w:r>
              <w:t xml:space="preserve">20,8</w:t>
            </w:r>
          </w:p>
        </w:tc>
        <w:tc>
          <w:tcPr/>
          <w:p>
            <w:pPr>
              <w:pStyle w:val="Compact"/>
              <w:jc w:val="left"/>
            </w:pPr>
            <w:r>
              <w:t xml:space="preserve">64,7</w:t>
            </w:r>
          </w:p>
        </w:tc>
        <w:tc>
          <w:tcPr/>
          <w:p>
            <w:pPr>
              <w:pStyle w:val="Compact"/>
              <w:jc w:val="left"/>
            </w:pPr>
            <w:r>
              <w:t xml:space="preserve">1,30</w:t>
            </w:r>
          </w:p>
        </w:tc>
      </w:tr>
      <w:tr>
        <w:tc>
          <w:tcPr/>
          <w:p>
            <w:pPr>
              <w:pStyle w:val="Compact"/>
              <w:jc w:val="left"/>
            </w:pPr>
            <w:r>
              <w:t xml:space="preserve">Qatar</w:t>
            </w:r>
          </w:p>
        </w:tc>
        <w:tc>
          <w:tcPr/>
          <w:p>
            <w:pPr>
              <w:pStyle w:val="Compact"/>
              <w:jc w:val="left"/>
            </w:pPr>
            <w:r>
              <w:t xml:space="preserve">QAT</w:t>
            </w:r>
          </w:p>
        </w:tc>
        <w:tc>
          <w:tcPr/>
          <w:p>
            <w:pPr>
              <w:pStyle w:val="Compact"/>
              <w:jc w:val="left"/>
            </w:pPr>
            <w:r>
              <w:t xml:space="preserve">Advanced</w:t>
            </w:r>
          </w:p>
        </w:tc>
        <w:tc>
          <w:tcPr/>
          <w:p>
            <w:pPr>
              <w:pStyle w:val="Compact"/>
              <w:jc w:val="left"/>
            </w:pPr>
            <w:r>
              <w:t xml:space="preserve">480</w:t>
            </w:r>
          </w:p>
        </w:tc>
        <w:tc>
          <w:tcPr/>
          <w:p>
            <w:pPr>
              <w:pStyle w:val="Compact"/>
              <w:jc w:val="left"/>
            </w:pPr>
            <w:r>
              <w:t xml:space="preserve">2,3</w:t>
            </w:r>
          </w:p>
        </w:tc>
        <w:tc>
          <w:tcPr/>
          <w:p>
            <w:pPr>
              <w:pStyle w:val="Compact"/>
              <w:jc w:val="left"/>
            </w:pPr>
            <w:r>
              <w:t xml:space="preserve">19,4</w:t>
            </w:r>
          </w:p>
        </w:tc>
        <w:tc>
          <w:tcPr/>
          <w:p>
            <w:pPr>
              <w:pStyle w:val="Compact"/>
              <w:jc w:val="left"/>
            </w:pPr>
            <w:r>
              <w:t xml:space="preserve">0,6</w:t>
            </w:r>
          </w:p>
        </w:tc>
        <w:tc>
          <w:tcPr/>
          <w:p>
            <w:pPr>
              <w:pStyle w:val="Compact"/>
              <w:jc w:val="left"/>
            </w:pPr>
            <w:r>
              <w:t xml:space="preserve">63,3</w:t>
            </w:r>
          </w:p>
        </w:tc>
        <w:tc>
          <w:tcPr/>
          <w:p>
            <w:pPr>
              <w:pStyle w:val="Compact"/>
              <w:jc w:val="left"/>
            </w:pPr>
            <w:r>
              <w:rPr>
                <w:bCs/>
                <w:b/>
              </w:rPr>
              <w:t xml:space="preserve">0,35</w:t>
            </w:r>
          </w:p>
        </w:tc>
      </w:tr>
      <w:tr>
        <w:tc>
          <w:tcPr/>
          <w:p>
            <w:pPr>
              <w:pStyle w:val="Compact"/>
              <w:jc w:val="left"/>
            </w:pPr>
            <w:r>
              <w:t xml:space="preserve">Afghanistan</w:t>
            </w:r>
          </w:p>
        </w:tc>
        <w:tc>
          <w:tcPr/>
          <w:p>
            <w:pPr>
              <w:pStyle w:val="Compact"/>
              <w:jc w:val="left"/>
            </w:pPr>
            <w:r>
              <w:t xml:space="preserve">AFG</w:t>
            </w:r>
          </w:p>
        </w:tc>
        <w:tc>
          <w:tcPr/>
          <w:p>
            <w:pPr>
              <w:pStyle w:val="Compact"/>
              <w:jc w:val="left"/>
            </w:pPr>
            <w:r>
              <w:t xml:space="preserve">Frontier</w:t>
            </w:r>
          </w:p>
        </w:tc>
        <w:tc>
          <w:tcPr/>
          <w:p>
            <w:pPr>
              <w:pStyle w:val="Compact"/>
              <w:jc w:val="left"/>
            </w:pPr>
            <w:r>
              <w:t xml:space="preserve">426</w:t>
            </w:r>
          </w:p>
        </w:tc>
        <w:tc>
          <w:tcPr/>
          <w:p>
            <w:pPr>
              <w:pStyle w:val="Compact"/>
              <w:jc w:val="left"/>
            </w:pPr>
            <w:r>
              <w:t xml:space="preserve">5,9</w:t>
            </w:r>
          </w:p>
        </w:tc>
        <w:tc>
          <w:tcPr/>
          <w:p>
            <w:pPr>
              <w:pStyle w:val="Compact"/>
              <w:jc w:val="left"/>
            </w:pPr>
            <w:r>
              <w:t xml:space="preserve">1,0</w:t>
            </w:r>
          </w:p>
        </w:tc>
        <w:tc>
          <w:tcPr/>
          <w:p>
            <w:pPr>
              <w:pStyle w:val="Compact"/>
              <w:jc w:val="left"/>
            </w:pPr>
            <w:r>
              <w:t xml:space="preserve">25,8</w:t>
            </w:r>
          </w:p>
        </w:tc>
        <w:tc>
          <w:tcPr/>
          <w:p>
            <w:pPr>
              <w:pStyle w:val="Compact"/>
              <w:jc w:val="left"/>
            </w:pPr>
            <w:r>
              <w:t xml:space="preserve">47,2</w:t>
            </w:r>
          </w:p>
        </w:tc>
        <w:tc>
          <w:tcPr/>
          <w:p>
            <w:pPr>
              <w:pStyle w:val="Compact"/>
              <w:jc w:val="left"/>
            </w:pPr>
            <w:r>
              <w:t xml:space="preserve">1,53</w:t>
            </w:r>
          </w:p>
        </w:tc>
      </w:tr>
      <w:tr>
        <w:tc>
          <w:tcPr/>
          <w:p>
            <w:pPr>
              <w:pStyle w:val="Compact"/>
              <w:jc w:val="left"/>
            </w:pPr>
            <w:r>
              <w:t xml:space="preserve">Maldives</w:t>
            </w:r>
          </w:p>
        </w:tc>
        <w:tc>
          <w:tcPr/>
          <w:p>
            <w:pPr>
              <w:pStyle w:val="Compact"/>
              <w:jc w:val="left"/>
            </w:pPr>
            <w:r>
              <w:t xml:space="preserve">MDV</w:t>
            </w:r>
          </w:p>
        </w:tc>
        <w:tc>
          <w:tcPr/>
          <w:p>
            <w:pPr>
              <w:pStyle w:val="Compact"/>
              <w:jc w:val="left"/>
            </w:pPr>
            <w:r>
              <w:t xml:space="preserve">Frontier</w:t>
            </w:r>
          </w:p>
        </w:tc>
        <w:tc>
          <w:tcPr/>
          <w:p>
            <w:pPr>
              <w:pStyle w:val="Compact"/>
              <w:jc w:val="left"/>
            </w:pPr>
            <w:r>
              <w:t xml:space="preserve">154</w:t>
            </w:r>
          </w:p>
        </w:tc>
        <w:tc>
          <w:tcPr/>
          <w:p>
            <w:pPr>
              <w:pStyle w:val="Compact"/>
              <w:jc w:val="left"/>
            </w:pPr>
            <w:r>
              <w:t xml:space="preserve">5,7</w:t>
            </w:r>
          </w:p>
        </w:tc>
        <w:tc>
          <w:tcPr/>
          <w:p>
            <w:pPr>
              <w:pStyle w:val="Compact"/>
              <w:jc w:val="left"/>
            </w:pPr>
            <w:r>
              <w:t xml:space="preserve">4,5</w:t>
            </w:r>
          </w:p>
        </w:tc>
        <w:tc>
          <w:tcPr/>
          <w:p>
            <w:pPr>
              <w:pStyle w:val="Compact"/>
              <w:jc w:val="left"/>
            </w:pPr>
            <w:r>
              <w:t xml:space="preserve">22,4</w:t>
            </w:r>
          </w:p>
        </w:tc>
        <w:tc>
          <w:tcPr/>
          <w:p>
            <w:pPr>
              <w:pStyle w:val="Compact"/>
              <w:jc w:val="left"/>
            </w:pPr>
            <w:r>
              <w:rPr>
                <w:bCs/>
                <w:b/>
              </w:rPr>
              <w:t xml:space="preserve">73,4</w:t>
            </w:r>
          </w:p>
        </w:tc>
        <w:tc>
          <w:tcPr/>
          <w:p>
            <w:pPr>
              <w:pStyle w:val="Compact"/>
              <w:jc w:val="left"/>
            </w:pPr>
            <w:r>
              <w:t xml:space="preserve">1,63</w:t>
            </w:r>
          </w:p>
        </w:tc>
      </w:tr>
      <w:tr>
        <w:tc>
          <w:tcPr/>
          <w:p>
            <w:pPr>
              <w:pStyle w:val="Compact"/>
              <w:jc w:val="left"/>
            </w:pPr>
            <w:r>
              <w:t xml:space="preserve">Fiji</w:t>
            </w:r>
          </w:p>
        </w:tc>
        <w:tc>
          <w:tcPr/>
          <w:p>
            <w:pPr>
              <w:pStyle w:val="Compact"/>
              <w:jc w:val="left"/>
            </w:pPr>
            <w:r>
              <w:t xml:space="preserve">FJI</w:t>
            </w:r>
          </w:p>
        </w:tc>
        <w:tc>
          <w:tcPr/>
          <w:p>
            <w:pPr>
              <w:pStyle w:val="Compact"/>
              <w:jc w:val="left"/>
            </w:pPr>
            <w:r>
              <w:t xml:space="preserve">SIDS</w:t>
            </w:r>
          </w:p>
        </w:tc>
        <w:tc>
          <w:tcPr/>
          <w:p>
            <w:pPr>
              <w:pStyle w:val="Compact"/>
              <w:jc w:val="left"/>
            </w:pPr>
            <w:r>
              <w:t xml:space="preserve">151</w:t>
            </w:r>
          </w:p>
        </w:tc>
        <w:tc>
          <w:tcPr/>
          <w:p>
            <w:pPr>
              <w:pStyle w:val="Compact"/>
              <w:jc w:val="left"/>
            </w:pPr>
            <w:r>
              <w:t xml:space="preserve">12,2</w:t>
            </w:r>
          </w:p>
        </w:tc>
        <w:tc>
          <w:tcPr/>
          <w:p>
            <w:pPr>
              <w:pStyle w:val="Compact"/>
              <w:jc w:val="left"/>
            </w:pPr>
            <w:r>
              <w:t xml:space="preserve">9,9</w:t>
            </w:r>
          </w:p>
        </w:tc>
        <w:tc>
          <w:tcPr/>
          <w:p>
            <w:pPr>
              <w:pStyle w:val="Compact"/>
              <w:jc w:val="left"/>
            </w:pPr>
            <w:r>
              <w:t xml:space="preserve">18,8</w:t>
            </w:r>
          </w:p>
        </w:tc>
        <w:tc>
          <w:tcPr/>
          <w:p>
            <w:pPr>
              <w:pStyle w:val="Compact"/>
              <w:jc w:val="left"/>
            </w:pPr>
            <w:r>
              <w:rPr>
                <w:bCs/>
                <w:b/>
              </w:rPr>
              <w:t xml:space="preserve">74,8</w:t>
            </w:r>
          </w:p>
        </w:tc>
        <w:tc>
          <w:tcPr/>
          <w:p>
            <w:pPr>
              <w:pStyle w:val="Compact"/>
              <w:jc w:val="left"/>
            </w:pPr>
            <w:r>
              <w:t xml:space="preserve">1,22</w:t>
            </w:r>
          </w:p>
        </w:tc>
      </w:tr>
      <w:tr>
        <w:tc>
          <w:tcPr/>
          <w:p>
            <w:pPr>
              <w:pStyle w:val="Compact"/>
              <w:jc w:val="left"/>
            </w:pPr>
            <w:r>
              <w:t xml:space="preserve">Solomon Islands</w:t>
            </w:r>
          </w:p>
        </w:tc>
        <w:tc>
          <w:tcPr/>
          <w:p>
            <w:pPr>
              <w:pStyle w:val="Compact"/>
              <w:jc w:val="left"/>
            </w:pPr>
            <w:r>
              <w:t xml:space="preserve">SLB</w:t>
            </w:r>
          </w:p>
        </w:tc>
        <w:tc>
          <w:tcPr/>
          <w:p>
            <w:pPr>
              <w:pStyle w:val="Compact"/>
              <w:jc w:val="left"/>
            </w:pPr>
            <w:r>
              <w:t xml:space="preserve">SIDS</w:t>
            </w:r>
          </w:p>
        </w:tc>
        <w:tc>
          <w:tcPr/>
          <w:p>
            <w:pPr>
              <w:pStyle w:val="Compact"/>
              <w:jc w:val="left"/>
            </w:pPr>
            <w:r>
              <w:t xml:space="preserve">150</w:t>
            </w:r>
          </w:p>
        </w:tc>
        <w:tc>
          <w:tcPr/>
          <w:p>
            <w:pPr>
              <w:pStyle w:val="Compact"/>
              <w:jc w:val="left"/>
            </w:pPr>
            <w:r>
              <w:t xml:space="preserve">4,8</w:t>
            </w:r>
          </w:p>
        </w:tc>
        <w:tc>
          <w:tcPr/>
          <w:p>
            <w:pPr>
              <w:pStyle w:val="Compact"/>
              <w:jc w:val="left"/>
            </w:pPr>
            <w:r>
              <w:t xml:space="preserve">20,0</w:t>
            </w:r>
          </w:p>
        </w:tc>
        <w:tc>
          <w:tcPr/>
          <w:p>
            <w:pPr>
              <w:pStyle w:val="Compact"/>
              <w:jc w:val="left"/>
            </w:pPr>
            <w:r>
              <w:t xml:space="preserve">11,3</w:t>
            </w:r>
          </w:p>
        </w:tc>
        <w:tc>
          <w:tcPr/>
          <w:p>
            <w:pPr>
              <w:pStyle w:val="Compact"/>
              <w:jc w:val="left"/>
            </w:pPr>
            <w:r>
              <w:t xml:space="preserve">53,3</w:t>
            </w:r>
          </w:p>
        </w:tc>
        <w:tc>
          <w:tcPr/>
          <w:p>
            <w:pPr>
              <w:pStyle w:val="Compact"/>
              <w:jc w:val="left"/>
            </w:pPr>
            <w:r>
              <w:t xml:space="preserve">1,43</w:t>
            </w:r>
          </w:p>
        </w:tc>
      </w:tr>
      <w:tr>
        <w:tc>
          <w:tcPr/>
          <w:p>
            <w:pPr>
              <w:pStyle w:val="Compact"/>
              <w:jc w:val="left"/>
            </w:pPr>
            <w:r>
              <w:t xml:space="preserve">Brunei</w:t>
            </w:r>
          </w:p>
        </w:tc>
        <w:tc>
          <w:tcPr/>
          <w:p>
            <w:pPr>
              <w:pStyle w:val="Compact"/>
              <w:jc w:val="left"/>
            </w:pPr>
            <w:r>
              <w:t xml:space="preserve">BRN</w:t>
            </w:r>
          </w:p>
        </w:tc>
        <w:tc>
          <w:tcPr/>
          <w:p>
            <w:pPr>
              <w:pStyle w:val="Compact"/>
              <w:jc w:val="left"/>
            </w:pPr>
            <w:r>
              <w:t xml:space="preserve">Advanced</w:t>
            </w:r>
          </w:p>
        </w:tc>
        <w:tc>
          <w:tcPr/>
          <w:p>
            <w:pPr>
              <w:pStyle w:val="Compact"/>
              <w:jc w:val="left"/>
            </w:pPr>
            <w:r>
              <w:t xml:space="preserve">150</w:t>
            </w:r>
          </w:p>
        </w:tc>
        <w:tc>
          <w:tcPr/>
          <w:p>
            <w:pPr>
              <w:pStyle w:val="Compact"/>
              <w:jc w:val="left"/>
            </w:pPr>
            <w:r>
              <w:t xml:space="preserve">5,0</w:t>
            </w:r>
          </w:p>
        </w:tc>
        <w:tc>
          <w:tcPr/>
          <w:p>
            <w:pPr>
              <w:pStyle w:val="Compact"/>
              <w:jc w:val="left"/>
            </w:pPr>
            <w:r>
              <w:t xml:space="preserve">26,2</w:t>
            </w:r>
          </w:p>
        </w:tc>
        <w:tc>
          <w:tcPr/>
          <w:p>
            <w:pPr>
              <w:pStyle w:val="Compact"/>
              <w:jc w:val="left"/>
            </w:pPr>
            <w:r>
              <w:t xml:space="preserve">18,9</w:t>
            </w:r>
          </w:p>
        </w:tc>
        <w:tc>
          <w:tcPr/>
          <w:p>
            <w:pPr>
              <w:pStyle w:val="Compact"/>
              <w:jc w:val="left"/>
            </w:pPr>
            <w:r>
              <w:rPr>
                <w:bCs/>
                <w:b/>
              </w:rPr>
              <w:t xml:space="preserve">80,7</w:t>
            </w:r>
          </w:p>
        </w:tc>
        <w:tc>
          <w:tcPr/>
          <w:p>
            <w:pPr>
              <w:pStyle w:val="Compact"/>
              <w:jc w:val="left"/>
            </w:pPr>
            <w:r>
              <w:t xml:space="preserve">1,38</w:t>
            </w:r>
          </w:p>
        </w:tc>
      </w:tr>
      <w:tr>
        <w:tc>
          <w:tcPr/>
          <w:p>
            <w:pPr>
              <w:pStyle w:val="Compact"/>
              <w:jc w:val="left"/>
            </w:pPr>
            <w:r>
              <w:t xml:space="preserve">Kuwait</w:t>
            </w:r>
          </w:p>
        </w:tc>
        <w:tc>
          <w:tcPr/>
          <w:p>
            <w:pPr>
              <w:pStyle w:val="Compact"/>
              <w:jc w:val="left"/>
            </w:pPr>
            <w:r>
              <w:t xml:space="preserve">KWT</w:t>
            </w:r>
          </w:p>
        </w:tc>
        <w:tc>
          <w:tcPr/>
          <w:p>
            <w:pPr>
              <w:pStyle w:val="Compact"/>
              <w:jc w:val="left"/>
            </w:pPr>
            <w:r>
              <w:t xml:space="preserve">Advanced</w:t>
            </w:r>
          </w:p>
        </w:tc>
        <w:tc>
          <w:tcPr/>
          <w:p>
            <w:pPr>
              <w:pStyle w:val="Compact"/>
              <w:jc w:val="left"/>
            </w:pPr>
            <w:r>
              <w:t xml:space="preserve">150</w:t>
            </w:r>
          </w:p>
        </w:tc>
        <w:tc>
          <w:tcPr/>
          <w:p>
            <w:pPr>
              <w:pStyle w:val="Compact"/>
              <w:jc w:val="left"/>
            </w:pPr>
            <w:r>
              <w:rPr>
                <w:bCs/>
                <w:b/>
              </w:rPr>
              <w:t xml:space="preserve">0,4</w:t>
            </w:r>
          </w:p>
        </w:tc>
        <w:tc>
          <w:tcPr/>
          <w:p>
            <w:pPr>
              <w:pStyle w:val="Compact"/>
              <w:jc w:val="left"/>
            </w:pPr>
            <w:r>
              <w:t xml:space="preserve">0,0</w:t>
            </w:r>
          </w:p>
        </w:tc>
        <w:tc>
          <w:tcPr/>
          <w:p>
            <w:pPr>
              <w:pStyle w:val="Compact"/>
              <w:jc w:val="left"/>
            </w:pPr>
            <w:r>
              <w:t xml:space="preserve">20,7</w:t>
            </w:r>
          </w:p>
        </w:tc>
        <w:tc>
          <w:tcPr/>
          <w:p>
            <w:pPr>
              <w:pStyle w:val="Compact"/>
              <w:jc w:val="left"/>
            </w:pPr>
            <w:r>
              <w:t xml:space="preserve">69,3</w:t>
            </w:r>
          </w:p>
        </w:tc>
        <w:tc>
          <w:tcPr/>
          <w:p>
            <w:pPr>
              <w:pStyle w:val="Compact"/>
              <w:jc w:val="left"/>
            </w:pPr>
            <w:r>
              <w:t xml:space="preserve">1,16</w:t>
            </w:r>
          </w:p>
        </w:tc>
      </w:tr>
      <w:tr>
        <w:tc>
          <w:tcPr/>
          <w:p>
            <w:pPr>
              <w:pStyle w:val="Compact"/>
              <w:jc w:val="left"/>
            </w:pPr>
            <w:r>
              <w:rPr>
                <w:bCs/>
                <w:b/>
              </w:rPr>
              <w:t xml:space="preserve">Kiribati</w:t>
            </w:r>
          </w:p>
        </w:tc>
        <w:tc>
          <w:tcPr/>
          <w:p>
            <w:pPr>
              <w:pStyle w:val="Compact"/>
              <w:jc w:val="left"/>
            </w:pPr>
            <w:r>
              <w:rPr>
                <w:bCs/>
                <w:b/>
              </w:rPr>
              <w:t xml:space="preserve">KIR</w:t>
            </w:r>
          </w:p>
        </w:tc>
        <w:tc>
          <w:tcPr/>
          <w:p>
            <w:pPr>
              <w:pStyle w:val="Compact"/>
              <w:jc w:val="left"/>
            </w:pPr>
            <w:r>
              <w:rPr>
                <w:bCs/>
                <w:b/>
              </w:rPr>
              <w:t xml:space="preserve">SIDS</w:t>
            </w:r>
          </w:p>
        </w:tc>
        <w:tc>
          <w:tcPr/>
          <w:p>
            <w:pPr>
              <w:pStyle w:val="Compact"/>
              <w:jc w:val="left"/>
            </w:pPr>
            <w:r>
              <w:rPr>
                <w:bCs/>
                <w:b/>
              </w:rPr>
              <w:t xml:space="preserve">150</w:t>
            </w:r>
          </w:p>
        </w:tc>
        <w:tc>
          <w:tcPr/>
          <w:p>
            <w:pPr>
              <w:pStyle w:val="Compact"/>
              <w:jc w:val="left"/>
            </w:pPr>
            <w:r>
              <w:rPr>
                <w:bCs/>
                <w:b/>
              </w:rPr>
              <w:t xml:space="preserve">1,0</w:t>
            </w:r>
          </w:p>
        </w:tc>
        <w:tc>
          <w:tcPr/>
          <w:p>
            <w:pPr>
              <w:pStyle w:val="Compact"/>
              <w:jc w:val="left"/>
            </w:pPr>
            <w:r>
              <w:rPr>
                <w:bCs/>
                <w:b/>
              </w:rPr>
              <w:t xml:space="preserve">0,7</w:t>
            </w:r>
          </w:p>
        </w:tc>
        <w:tc>
          <w:tcPr/>
          <w:p>
            <w:pPr>
              <w:pStyle w:val="Compact"/>
              <w:jc w:val="left"/>
            </w:pPr>
            <w:r>
              <w:rPr>
                <w:bCs/>
                <w:b/>
              </w:rPr>
              <w:t xml:space="preserve">14,0</w:t>
            </w:r>
          </w:p>
        </w:tc>
        <w:tc>
          <w:tcPr/>
          <w:p>
            <w:pPr>
              <w:pStyle w:val="Compact"/>
              <w:jc w:val="left"/>
            </w:pPr>
            <w:r>
              <w:rPr>
                <w:bCs/>
                <w:b/>
              </w:rPr>
              <w:t xml:space="preserve">18,7</w:t>
            </w:r>
          </w:p>
        </w:tc>
        <w:tc>
          <w:tcPr/>
          <w:p>
            <w:pPr>
              <w:pStyle w:val="Compact"/>
              <w:jc w:val="left"/>
            </w:pPr>
            <w:r>
              <w:rPr>
                <w:bCs/>
                <w:b/>
              </w:rPr>
              <w:t xml:space="preserve">1,55</w:t>
            </w:r>
          </w:p>
        </w:tc>
      </w:tr>
      <w:tr>
        <w:tc>
          <w:tcPr/>
          <w:p>
            <w:pPr>
              <w:pStyle w:val="Compact"/>
              <w:jc w:val="left"/>
            </w:pPr>
            <w:r>
              <w:t xml:space="preserve">Nepal</w:t>
            </w:r>
          </w:p>
        </w:tc>
        <w:tc>
          <w:tcPr/>
          <w:p>
            <w:pPr>
              <w:pStyle w:val="Compact"/>
              <w:jc w:val="left"/>
            </w:pPr>
            <w:r>
              <w:t xml:space="preserve">NPL</w:t>
            </w:r>
          </w:p>
        </w:tc>
        <w:tc>
          <w:tcPr/>
          <w:p>
            <w:pPr>
              <w:pStyle w:val="Compact"/>
              <w:jc w:val="left"/>
            </w:pPr>
            <w:r>
              <w:t xml:space="preserve">Frontier</w:t>
            </w:r>
          </w:p>
        </w:tc>
        <w:tc>
          <w:tcPr/>
          <w:p>
            <w:pPr>
              <w:pStyle w:val="Compact"/>
              <w:jc w:val="left"/>
            </w:pPr>
            <w:r>
              <w:t xml:space="preserve">1.740</w:t>
            </w:r>
          </w:p>
        </w:tc>
        <w:tc>
          <w:tcPr/>
          <w:p>
            <w:pPr>
              <w:pStyle w:val="Compact"/>
              <w:jc w:val="left"/>
            </w:pPr>
            <w:r>
              <w:t xml:space="preserve">10,0*</w:t>
            </w:r>
          </w:p>
        </w:tc>
        <w:tc>
          <w:tcPr/>
          <w:p>
            <w:pPr>
              <w:pStyle w:val="Compact"/>
              <w:jc w:val="left"/>
            </w:pPr>
            <w:r>
              <w:t xml:space="preserve">-</w:t>
            </w:r>
          </w:p>
        </w:tc>
        <w:tc>
          <w:tcPr/>
          <w:p>
            <w:pPr>
              <w:pStyle w:val="Compact"/>
              <w:jc w:val="left"/>
            </w:pPr>
            <w:r>
              <w:t xml:space="preserve">-</w:t>
            </w:r>
          </w:p>
        </w:tc>
        <w:tc>
          <w:tcPr/>
          <w:p>
            <w:pPr>
              <w:pStyle w:val="Compact"/>
              <w:jc w:val="left"/>
            </w:pPr>
            <w:r>
              <w:t xml:space="preserve">22,6†</w:t>
            </w:r>
          </w:p>
        </w:tc>
        <w:tc>
          <w:tcPr/>
          <w:p>
            <w:pPr>
              <w:pStyle w:val="Compact"/>
              <w:jc w:val="left"/>
            </w:pPr>
            <w:r>
              <w:t xml:space="preserve">1,15</w:t>
            </w:r>
          </w:p>
        </w:tc>
      </w:tr>
      <w:tr>
        <w:tc>
          <w:tcPr/>
          <w:p>
            <w:pPr>
              <w:pStyle w:val="Compact"/>
              <w:jc w:val="left"/>
            </w:pPr>
            <w:r>
              <w:rPr>
                <w:bCs/>
                <w:b/>
              </w:rPr>
              <w:t xml:space="preserve">Tổng 2025</w:t>
            </w:r>
          </w:p>
        </w:tc>
        <w:tc>
          <w:tcPr/>
          <w:p>
            <w:pPr>
              <w:pStyle w:val="Compact"/>
              <w:jc w:val="left"/>
            </w:pPr>
            <w:r>
              <w:t xml:space="preserve">-</w:t>
            </w:r>
          </w:p>
        </w:tc>
        <w:tc>
          <w:tcPr/>
          <w:p>
            <w:pPr>
              <w:pStyle w:val="Compact"/>
              <w:jc w:val="left"/>
            </w:pPr>
            <w:r>
              <w:t xml:space="preserve">-</w:t>
            </w:r>
          </w:p>
        </w:tc>
        <w:tc>
          <w:tcPr/>
          <w:p>
            <w:pPr>
              <w:pStyle w:val="Compact"/>
              <w:jc w:val="left"/>
            </w:pPr>
            <w:r>
              <w:rPr>
                <w:bCs/>
                <w:b/>
              </w:rPr>
              <w:t xml:space="preserve">17.053</w:t>
            </w:r>
          </w:p>
        </w:tc>
        <w:tc>
          <w:tcPr/>
          <w:p>
            <w:pPr>
              <w:pStyle w:val="Compact"/>
              <w:jc w:val="left"/>
            </w:pPr>
            <w:r>
              <w:rPr>
                <w:bCs/>
                <w:b/>
              </w:rPr>
              <w:t xml:space="preserve">3,8</w:t>
            </w:r>
          </w:p>
        </w:tc>
        <w:tc>
          <w:tcPr/>
          <w:p>
            <w:pPr>
              <w:pStyle w:val="Compact"/>
              <w:jc w:val="left"/>
            </w:pPr>
            <w:r>
              <w:rPr>
                <w:bCs/>
                <w:b/>
              </w:rPr>
              <w:t xml:space="preserve">2,9</w:t>
            </w:r>
          </w:p>
        </w:tc>
        <w:tc>
          <w:tcPr/>
          <w:p>
            <w:pPr>
              <w:pStyle w:val="Compact"/>
              <w:jc w:val="left"/>
            </w:pPr>
            <w:r>
              <w:rPr>
                <w:bCs/>
                <w:b/>
              </w:rPr>
              <w:t xml:space="preserve">5,4</w:t>
            </w:r>
          </w:p>
        </w:tc>
        <w:tc>
          <w:tcPr/>
          <w:p>
            <w:pPr>
              <w:pStyle w:val="Compact"/>
              <w:jc w:val="left"/>
            </w:pPr>
            <w:r>
              <w:rPr>
                <w:bCs/>
                <w:b/>
              </w:rPr>
              <w:t xml:space="preserve">44,2</w:t>
            </w:r>
          </w:p>
        </w:tc>
        <w:tc>
          <w:tcPr/>
          <w:p>
            <w:pPr>
              <w:pStyle w:val="Compact"/>
              <w:jc w:val="left"/>
            </w:pPr>
            <w:r>
              <w:rPr>
                <w:bCs/>
                <w:b/>
              </w:rPr>
              <w:t xml:space="preserve">0,90</w:t>
            </w:r>
          </w:p>
        </w:tc>
      </w:tr>
    </w:tbl>
    <w:p>
      <w:pPr>
        <w:pStyle w:val="BodyText"/>
      </w:pPr>
      <w:r>
        <w:rPr>
          <w:iCs/>
          <w:i/>
        </w:rPr>
        <w:t xml:space="preserve">*FSTS Nepal: % doanh nghiệp bán ra thị trường quốc tế (biến nhị phân</w:t>
      </w:r>
      <w:r>
        <w:rPr>
          <w:iCs/>
          <w:i/>
        </w:rPr>
        <w:t xml:space="preserve"> </w:t>
      </w:r>
      <w:r>
        <w:rPr>
          <w:rStyle w:val="VerbatimChar"/>
          <w:iCs/>
          <w:i/>
        </w:rPr>
        <w:t xml:space="preserve">me1c</w:t>
      </w:r>
      <w:r>
        <w:rPr>
          <w:iCs/>
          <w:i/>
        </w:rPr>
        <w:t xml:space="preserve">), không phải trung bình tỷ lệ doanh thu xuất khẩu. †Website Nepal: % dùng máy tính/tablet (</w:t>
      </w:r>
      <w:r>
        <w:rPr>
          <w:rStyle w:val="VerbatimChar"/>
          <w:iCs/>
          <w:i/>
        </w:rPr>
        <w:t xml:space="preserve">c42a</w:t>
      </w:r>
      <w:r>
        <w:rPr>
          <w:iCs/>
          <w:i/>
        </w:rPr>
        <w:t xml:space="preserve">), proxy số hóa Micro. FDI và R&amp;D không có trong BREADY Micro schema.</w:t>
      </w:r>
    </w:p>
    <w:p>
      <w:pPr>
        <w:pStyle w:val="BodyText"/>
      </w:pPr>
      <w:r>
        <w:t xml:space="preserve">Tám phát hiện từ đợt 2025: (1) Ấn Độ FSTS sụt 5 điểm phần trăm (hiệu ứng schema); (2) Thái Lan</w:t>
      </w:r>
      <w:r>
        <w:t xml:space="preserve"> </w:t>
      </w:r>
      <w:r>
        <w:t xml:space="preserve">“</w:t>
      </w:r>
      <w:r>
        <w:t xml:space="preserve">số hóa tăng, xuất khẩu giảm</w:t>
      </w:r>
      <w:r>
        <w:t xml:space="preserve">”</w:t>
      </w:r>
      <w:r>
        <w:t xml:space="preserve">; (3) Fiji website 74,8% &gt; Singapore 66,1% (nhảy vọt số); (4) Vùng Vịnh + Brunei Advanced tài nguyên dẫn dắt được xác nhận; (5) R&amp;D schema-induced overestimation; (6) mẫu xác thực 2025 cho Chuyên đề 2; (7)</w:t>
      </w:r>
      <w:r>
        <w:t xml:space="preserve"> </w:t>
      </w:r>
      <w:r>
        <w:rPr>
          <w:bCs/>
          <w:b/>
        </w:rPr>
        <w:t xml:space="preserve">Kiribati cực đoan, FSTS 1,03%, FDI 0,7%, website 18,7%, đối lập hoàn toàn với Fiji. Dị biệt SIDS</w:t>
      </w:r>
      <w:r>
        <w:rPr>
          <w:bCs/>
          <w:b/>
        </w:rPr>
        <w:t xml:space="preserve"> </w:t>
      </w:r>
      <w:r>
        <w:rPr>
          <w:bCs/>
          <w:b/>
        </w:rPr>
        <w:t xml:space="preserve">“</w:t>
      </w:r>
      <w:r>
        <w:rPr>
          <w:bCs/>
          <w:b/>
        </w:rPr>
        <w:t xml:space="preserve">số hóa cao</w:t>
      </w:r>
      <w:r>
        <w:rPr>
          <w:bCs/>
          <w:b/>
        </w:rPr>
        <w:t xml:space="preserve">”</w:t>
      </w:r>
      <w:r>
        <w:rPr>
          <w:bCs/>
          <w:b/>
        </w:rPr>
        <w:t xml:space="preserve"> </w:t>
      </w:r>
      <w:r>
        <w:rPr>
          <w:bCs/>
          <w:b/>
        </w:rPr>
        <w:t xml:space="preserve">(FJI, MDV) so với</w:t>
      </w:r>
      <w:r>
        <w:rPr>
          <w:bCs/>
          <w:b/>
        </w:rPr>
        <w:t xml:space="preserve"> </w:t>
      </w:r>
      <w:r>
        <w:rPr>
          <w:bCs/>
          <w:b/>
        </w:rPr>
        <w:t xml:space="preserve">“</w:t>
      </w:r>
      <w:r>
        <w:rPr>
          <w:bCs/>
          <w:b/>
        </w:rPr>
        <w:t xml:space="preserve">cô lập nông thôn</w:t>
      </w:r>
      <w:r>
        <w:rPr>
          <w:bCs/>
          <w:b/>
        </w:rPr>
        <w:t xml:space="preserve">”</w:t>
      </w:r>
      <w:r>
        <w:rPr>
          <w:bCs/>
          <w:b/>
        </w:rPr>
        <w:t xml:space="preserve"> </w:t>
      </w:r>
      <w:r>
        <w:rPr>
          <w:bCs/>
          <w:b/>
        </w:rPr>
        <w:t xml:space="preserve">(KIR), Chuyên đề 2 cần tách 2 phân nhóm con SIDS.</w:t>
      </w:r>
      <w:r>
        <w:t xml:space="preserve">; (8)</w:t>
      </w:r>
      <w:r>
        <w:t xml:space="preserve"> </w:t>
      </w:r>
      <w:r>
        <w:rPr>
          <w:bCs/>
          <w:b/>
        </w:rPr>
        <w:t xml:space="preserve">Nepal Frontier, BREADY Micro schema (n=1.740): 10% bán quốc tế, số hóa 22,6% (máy tính/tablet), sd log LP 1,15, mẫu doanh nghiệp siêu nhỏ không so sánh trực tiếp với WBES chuẩn; cần tái mã hóa trước khi tích hợp vào hồi quy chính.</w:t>
      </w:r>
    </w:p>
    <w:p>
      <w:r>
        <w:pict>
          <v:rect style="width:0;height:1.5pt" o:hralign="center" o:hrstd="t" o:hr="t"/>
        </w:pict>
      </w:r>
    </w:p>
    <w:bookmarkEnd w:id="56"/>
    <w:bookmarkEnd w:id="57"/>
    <w:bookmarkStart w:id="66" w:name="bảy-tiểu-cảnh-điển-hình"/>
    <w:p>
      <w:pPr>
        <w:pStyle w:val="Heading3"/>
      </w:pPr>
      <w:r>
        <w:t xml:space="preserve">2.3.7 Bảy tiểu cảnh điển hình</w:t>
      </w:r>
    </w:p>
    <w:bookmarkStart w:id="58" w:name="X3055a7db7274e37a9f2c0231dbf16e1af51dbc7"/>
    <w:p>
      <w:pPr>
        <w:pStyle w:val="Heading4"/>
      </w:pPr>
      <w:r>
        <w:t xml:space="preserve">2.3.7.1 Singapore (Advanced đổi mới sáng tạo dẫn dắt, n=623, đợt 2023)</w:t>
      </w:r>
    </w:p>
    <w:p>
      <w:pPr>
        <w:pStyle w:val="FirstParagraph"/>
      </w:pPr>
      <w:r>
        <w:t xml:space="preserve">FSTS 7,1%; doanh nghiệp xuất khẩu 17,8%; website 66,1%; ISO 23,3%; R&amp;D 7,5%; FDI 31,5%. Độ lệch chuẩn log năng suất 1,03.</w:t>
      </w:r>
      <w:r>
        <w:t xml:space="preserve"> </w:t>
      </w:r>
      <w:r>
        <w:rPr>
          <w:bCs/>
          <w:b/>
        </w:rPr>
        <w:t xml:space="preserve">Biên trên</w:t>
      </w:r>
      <w:r>
        <w:t xml:space="preserve"> </w:t>
      </w:r>
      <w:r>
        <w:t xml:space="preserve">của nhóm Advanced đổi mới sáng tạo dẫn dắt. Theo nghiên cứu Singapore (Mar, Đỗ &amp; Phan, 2026, MIR under review):</w:t>
      </w:r>
      <w:r>
        <w:t xml:space="preserve"> </w:t>
      </w:r>
      <m:oMath>
        <m:sSup>
          <m:e>
            <m:r>
              <m:t>R</m:t>
            </m:r>
          </m:e>
          <m:sup>
            <m:r>
              <m:t>2</m:t>
            </m:r>
          </m:sup>
        </m:sSup>
      </m:oMath>
      <w:r>
        <w:t xml:space="preserve"> </w:t>
      </w:r>
      <w:r>
        <w:t xml:space="preserve">hiệu chỉnh = 0,196; tương tác</w:t>
      </w:r>
      <w:r>
        <w:t xml:space="preserve"> </w:t>
      </w:r>
      <m:oMath>
        <m:sSup>
          <m:e>
            <m:r>
              <m:rPr>
                <m:nor/>
                <m:sty m:val="p"/>
              </m:rPr>
              <m:t>FSTS</m:t>
            </m:r>
          </m:e>
          <m:sup>
            <m:r>
              <m:t>2</m:t>
            </m:r>
          </m:sup>
        </m:sSup>
      </m:oMath>
      <w:r>
        <w:t xml:space="preserve"> </w:t>
      </w:r>
      <w:r>
        <w:t xml:space="preserve">× DAI = 3,119 (p = 0,005); điểm uốn ~88,6%.</w:t>
      </w:r>
    </w:p>
    <w:p>
      <w:pPr>
        <w:pStyle w:val="BodyText"/>
      </w:pPr>
      <w:r>
        <w:rPr>
          <w:bCs/>
          <w:b/>
        </w:rPr>
        <w:t xml:space="preserve">Bối cảnh hệ sinh thái 2025/2026</w:t>
      </w:r>
      <w:r>
        <w:t xml:space="preserve">: Singapore xếp</w:t>
      </w:r>
      <w:r>
        <w:t xml:space="preserve"> </w:t>
      </w:r>
      <w:r>
        <w:rPr>
          <w:bCs/>
          <w:b/>
        </w:rPr>
        <w:t xml:space="preserve">hạng 2 toàn cầu</w:t>
      </w:r>
      <w:r>
        <w:t xml:space="preserve"> </w:t>
      </w:r>
      <w:r>
        <w:t xml:space="preserve">trong Innovators Business Environment Index 2026 (StartupBlink, 2026); hạng 4 toàn cầu trong Global Startup Ecosystem Index 2025 với tăng trưởng hệ sinh thái 44,9%; hạng 3 thế giới trong Khảo sát Chính phủ điện tử Liên Hiệp Quốc 2024. Sáng kiến</w:t>
      </w:r>
      <w:r>
        <w:t xml:space="preserve"> </w:t>
      </w:r>
      <w:r>
        <w:rPr>
          <w:bCs/>
          <w:b/>
        </w:rPr>
        <w:t xml:space="preserve">Smart Nation 2.0</w:t>
      </w:r>
      <w:r>
        <w:t xml:space="preserve"> </w:t>
      </w:r>
      <w:r>
        <w:t xml:space="preserve">(2024) với 3 trụ cột: Tin tưởng, Tăng trưởng, Cộng đồng.</w:t>
      </w:r>
    </w:p>
    <w:p>
      <w:pPr>
        <w:pStyle w:val="BodyText"/>
      </w:pPr>
      <w:r>
        <w:t xml:space="preserve">Hệ sinh thái Singapore vận hành ở Tier 3-4, vượt xa lớp DAI Tier 1-2 đo trong WBES. Đây là lý do</w:t>
      </w:r>
      <w:r>
        <w:t xml:space="preserve"> </w:t>
      </w:r>
      <w:r>
        <w:rPr>
          <w:bCs/>
          <w:b/>
        </w:rPr>
        <w:t xml:space="preserve">Nghịch lý bão hòa số (Digital Saturation Paradox)</w:t>
      </w:r>
      <w:r>
        <w:t xml:space="preserve"> </w:t>
      </w:r>
      <w:r>
        <w:t xml:space="preserve">xuất hiện: DAI cơ bản đã trở thành yếu tố vệ sinh, phần bù năng suất chỉ còn đo được ở nhóm xuất khẩu cường độ cao.</w:t>
      </w:r>
    </w:p>
    <w:bookmarkEnd w:id="58"/>
    <w:bookmarkStart w:id="59" w:name="X3d8e62bb8c12f1314bcf822e6abe0e9d84c2bf6"/>
    <w:p>
      <w:pPr>
        <w:pStyle w:val="Heading4"/>
      </w:pPr>
      <w:r>
        <w:t xml:space="preserve">2.3.7.2 Saudi Arabia, Qatar và Kuwait (Advanced tài nguyên dẫn dắt, n=1.632)</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Chỉ số</w:t>
            </w:r>
          </w:p>
        </w:tc>
        <w:tc>
          <w:tcPr/>
          <w:p>
            <w:pPr>
              <w:pStyle w:val="Compact"/>
              <w:jc w:val="left"/>
            </w:pPr>
            <w:r>
              <w:t xml:space="preserve">Saudi Arabia</w:t>
            </w:r>
          </w:p>
        </w:tc>
        <w:tc>
          <w:tcPr/>
          <w:p>
            <w:pPr>
              <w:pStyle w:val="Compact"/>
              <w:jc w:val="left"/>
            </w:pPr>
            <w:r>
              <w:t xml:space="preserve">Qatar</w:t>
            </w:r>
          </w:p>
        </w:tc>
        <w:tc>
          <w:tcPr/>
          <w:p>
            <w:pPr>
              <w:pStyle w:val="Compact"/>
              <w:jc w:val="left"/>
            </w:pPr>
            <w:r>
              <w:t xml:space="preserve">Kuwait</w:t>
            </w:r>
          </w:p>
        </w:tc>
        <w:tc>
          <w:tcPr/>
          <w:p>
            <w:pPr>
              <w:pStyle w:val="Compact"/>
              <w:jc w:val="left"/>
            </w:pPr>
            <w:r>
              <w:t xml:space="preserve">Singapore</w:t>
            </w:r>
          </w:p>
        </w:tc>
      </w:tr>
      <w:tr>
        <w:tc>
          <w:tcPr/>
          <w:p>
            <w:pPr>
              <w:pStyle w:val="Compact"/>
              <w:jc w:val="left"/>
            </w:pPr>
            <w:r>
              <w:t xml:space="preserve">FSTS (%)</w:t>
            </w:r>
          </w:p>
        </w:tc>
        <w:tc>
          <w:tcPr/>
          <w:p>
            <w:pPr>
              <w:pStyle w:val="Compact"/>
              <w:jc w:val="left"/>
            </w:pPr>
            <w:r>
              <w:t xml:space="preserve">2,7</w:t>
            </w:r>
          </w:p>
        </w:tc>
        <w:tc>
          <w:tcPr/>
          <w:p>
            <w:pPr>
              <w:pStyle w:val="Compact"/>
              <w:jc w:val="left"/>
            </w:pPr>
            <w:r>
              <w:t xml:space="preserve">2,3</w:t>
            </w:r>
          </w:p>
        </w:tc>
        <w:tc>
          <w:tcPr/>
          <w:p>
            <w:pPr>
              <w:pStyle w:val="Compact"/>
              <w:jc w:val="left"/>
            </w:pPr>
            <w:r>
              <w:rPr>
                <w:bCs/>
                <w:b/>
              </w:rPr>
              <w:t xml:space="preserve">0,4</w:t>
            </w:r>
          </w:p>
        </w:tc>
        <w:tc>
          <w:tcPr/>
          <w:p>
            <w:pPr>
              <w:pStyle w:val="Compact"/>
              <w:jc w:val="left"/>
            </w:pPr>
            <w:r>
              <w:t xml:space="preserve">7,1</w:t>
            </w:r>
          </w:p>
        </w:tc>
      </w:tr>
      <w:tr>
        <w:tc>
          <w:tcPr/>
          <w:p>
            <w:pPr>
              <w:pStyle w:val="Compact"/>
              <w:jc w:val="left"/>
            </w:pPr>
            <w:r>
              <w:t xml:space="preserve">FDI $</w:t>
            </w:r>
            <w:r>
              <w:t xml:space="preserve">$10% (%)</w:t>
            </w:r>
          </w:p>
        </w:tc>
        <w:tc>
          <w:tcPr/>
          <w:p>
            <w:pPr>
              <w:pStyle w:val="Compact"/>
              <w:jc w:val="left"/>
            </w:pPr>
            <w:r>
              <w:t xml:space="preserve">9,5</w:t>
            </w:r>
          </w:p>
        </w:tc>
        <w:tc>
          <w:tcPr/>
          <w:p>
            <w:pPr>
              <w:pStyle w:val="Compact"/>
              <w:jc w:val="left"/>
            </w:pPr>
            <w:r>
              <w:t xml:space="preserve">19,4</w:t>
            </w:r>
          </w:p>
        </w:tc>
        <w:tc>
          <w:tcPr/>
          <w:p>
            <w:pPr>
              <w:pStyle w:val="Compact"/>
              <w:jc w:val="left"/>
            </w:pPr>
            <w:r>
              <w:t xml:space="preserve">0,0</w:t>
            </w:r>
          </w:p>
        </w:tc>
        <w:tc>
          <w:tcPr/>
          <w:p>
            <w:pPr>
              <w:pStyle w:val="Compact"/>
              <w:jc w:val="left"/>
            </w:pPr>
            <w:r>
              <w:rPr>
                <w:bCs/>
                <w:b/>
              </w:rPr>
              <w:t xml:space="preserve">31,5</w:t>
            </w:r>
          </w:p>
        </w:tc>
      </w:tr>
      <w:tr>
        <w:tc>
          <w:tcPr/>
          <w:p>
            <w:pPr>
              <w:pStyle w:val="Compact"/>
              <w:jc w:val="left"/>
            </w:pPr>
            <w:r>
              <w:t xml:space="preserve">R&amp;D dương (%)</w:t>
            </w:r>
          </w:p>
        </w:tc>
        <w:tc>
          <w:tcPr/>
          <w:p>
            <w:pPr>
              <w:pStyle w:val="Compact"/>
              <w:jc w:val="left"/>
            </w:pPr>
            <w:r>
              <w:t xml:space="preserve">1,7</w:t>
            </w:r>
          </w:p>
        </w:tc>
        <w:tc>
          <w:tcPr/>
          <w:p>
            <w:pPr>
              <w:pStyle w:val="Compact"/>
              <w:jc w:val="left"/>
            </w:pPr>
            <w:r>
              <w:t xml:space="preserve">0,6</w:t>
            </w:r>
          </w:p>
        </w:tc>
        <w:tc>
          <w:tcPr/>
          <w:p>
            <w:pPr>
              <w:pStyle w:val="Compact"/>
              <w:jc w:val="left"/>
            </w:pPr>
            <w:r>
              <w:rPr>
                <w:bCs/>
                <w:b/>
              </w:rPr>
              <w:t xml:space="preserve">20,7</w:t>
            </w:r>
          </w:p>
        </w:tc>
        <w:tc>
          <w:tcPr/>
          <w:p>
            <w:pPr>
              <w:pStyle w:val="Compact"/>
              <w:jc w:val="left"/>
            </w:pPr>
            <w:r>
              <w:t xml:space="preserve">7,5</w:t>
            </w:r>
          </w:p>
        </w:tc>
      </w:tr>
      <w:tr>
        <w:tc>
          <w:tcPr/>
          <w:p>
            <w:pPr>
              <w:pStyle w:val="Compact"/>
              <w:jc w:val="left"/>
            </w:pPr>
            <w:r>
              <w:t xml:space="preserve">sd log năng suất</w:t>
            </w:r>
          </w:p>
        </w:tc>
        <w:tc>
          <w:tcPr/>
          <w:p>
            <w:pPr>
              <w:pStyle w:val="Compact"/>
              <w:jc w:val="left"/>
            </w:pPr>
            <w:r>
              <w:rPr>
                <w:bCs/>
                <w:b/>
              </w:rPr>
              <w:t xml:space="preserve">0,47</w:t>
            </w:r>
          </w:p>
        </w:tc>
        <w:tc>
          <w:tcPr/>
          <w:p>
            <w:pPr>
              <w:pStyle w:val="Compact"/>
              <w:jc w:val="left"/>
            </w:pPr>
            <w:r>
              <w:rPr>
                <w:bCs/>
                <w:b/>
              </w:rPr>
              <w:t xml:space="preserve">0,31</w:t>
            </w:r>
          </w:p>
        </w:tc>
        <w:tc>
          <w:tcPr/>
          <w:p>
            <w:pPr>
              <w:pStyle w:val="Compact"/>
              <w:jc w:val="left"/>
            </w:pPr>
            <w:r>
              <w:t xml:space="preserve">1,15</w:t>
            </w:r>
          </w:p>
        </w:tc>
        <w:tc>
          <w:tcPr/>
          <w:p>
            <w:pPr>
              <w:pStyle w:val="Compact"/>
              <w:jc w:val="left"/>
            </w:pPr>
            <w:r>
              <w:t xml:space="preserve">1,03</w:t>
            </w:r>
          </w:p>
        </w:tc>
      </w:tr>
    </w:tbl>
    <w:p>
      <w:pPr>
        <w:pStyle w:val="BodyText"/>
      </w:pPr>
      <w:r>
        <w:t xml:space="preserve">Năm phát hiện: (1)</w:t>
      </w:r>
      <w:r>
        <w:t xml:space="preserve"> </w:t>
      </w:r>
      <w:r>
        <w:rPr>
          <w:bCs/>
          <w:b/>
        </w:rPr>
        <w:t xml:space="preserve">nhà nước tô</w:t>
      </w:r>
      <w:r>
        <w:t xml:space="preserve">, phân phối tô lợi tài nguyên san bằng phân tán năng suất (Beblawi, 1987; Hertog, 2010); (2)</w:t>
      </w:r>
      <w:r>
        <w:t xml:space="preserve"> </w:t>
      </w:r>
      <w:r>
        <w:rPr>
          <w:bCs/>
          <w:b/>
        </w:rPr>
        <w:t xml:space="preserve">phân bổ sai nguồn lực đảo chiều</w:t>
      </w:r>
      <w:r>
        <w:t xml:space="preserve"> </w:t>
      </w:r>
      <w:r>
        <w:t xml:space="preserve">so với Hsieh &amp; Klenow (2009), ở nhà nước tô, cơ chế phân bổ sai là bảo hộ FDI chứ không phải thiếu hụt thể chế; (3) Kuwait Vision 2035 với R&amp;D 20,7%, cố gắng đa dạng hóa đáng chú ý; (4) thiên lệch của chỉ số áp dụng số đơn thành phần khi áp dụng ở bối cảnh tài nguyên; (5)</w:t>
      </w:r>
      <w:r>
        <w:t xml:space="preserve"> </w:t>
      </w:r>
      <w:r>
        <w:rPr>
          <w:bCs/>
          <w:b/>
        </w:rPr>
        <w:t xml:space="preserve">phân nhóm con Advanced</w:t>
      </w:r>
      <w:r>
        <w:t xml:space="preserve">, bằng chứng cho sự đa dạng của chủ nghĩa tư bản (Hall &amp; Soskice, 2001).</w:t>
      </w:r>
      <w:r>
        <w:t xml:space="preserve"> </w:t>
      </w:r>
      <w:r>
        <w:rPr>
          <w:bCs/>
          <w:b/>
        </w:rPr>
        <w:t xml:space="preserve">Bối cảnh 2026</w:t>
      </w:r>
      <w:r>
        <w:t xml:space="preserve">: IMF điều chỉnh giảm tăng trưởng Saudi Arabia từ ~4,5% xuống 3,1% do xung đột Trung Đông.</w:t>
      </w:r>
    </w:p>
    <w:bookmarkEnd w:id="59"/>
    <w:bookmarkStart w:id="60" w:name="Xdb719e3a8e331c4576e009e4801111badf5cb2d"/>
    <w:p>
      <w:pPr>
        <w:pStyle w:val="Heading4"/>
      </w:pPr>
      <w:r>
        <w:t xml:space="preserve">2.3.7.3 Việt Nam (n=3.077, 3 đợt khảo sát), cập nhật ADB Vietnam Outlook 2026</w:t>
      </w:r>
    </w:p>
    <w:p>
      <w:pPr>
        <w:pStyle w:val="FirstParagraph"/>
      </w:pPr>
      <w:r>
        <w:t xml:space="preserve">FSTS 23,2%, 17,9%, 16,1% (suy giảm theo thời gian); doanh nghiệp xuất khẩu 37,1% xuống 23,8%; ISO 17-23%; R&amp;D 6,1% (2023). Pattern</w:t>
      </w:r>
      <w:r>
        <w:t xml:space="preserve"> </w:t>
      </w:r>
      <w:r>
        <w:rPr>
          <w:bCs/>
          <w:b/>
        </w:rPr>
        <w:t xml:space="preserve">kinh tế hai tầng</w:t>
      </w:r>
      <w:r>
        <w:t xml:space="preserve">, FDI hướng xuất khẩu hiệu quả cao đan xen với doanh nghiệp nội địa năng suất thấp (CIEM, 2023).</w:t>
      </w:r>
    </w:p>
    <w:p>
      <w:pPr>
        <w:pStyle w:val="BodyText"/>
      </w:pPr>
      <w:r>
        <w:rPr>
          <w:bCs/>
          <w:b/>
        </w:rPr>
        <w:t xml:space="preserve">Bối cảnh 2026, ADB Vietnam Economic Outlook</w:t>
      </w:r>
      <w:r>
        <w:t xml:space="preserve">: Việt Nam dự phóng GDP</w:t>
      </w:r>
      <w:r>
        <w:t xml:space="preserve"> </w:t>
      </w:r>
      <w:r>
        <w:rPr>
          <w:bCs/>
          <w:b/>
        </w:rPr>
        <w:t xml:space="preserve">7,2% (2026) / 7,0% (2027)</w:t>
      </w:r>
      <w:r>
        <w:t xml:space="preserve">, vượt ASEAN 4,6%. Bốn động lực: (a) cam kết FDI 2,4 tỷ USD với 18 dự án chiến lược; (b) năng suất lao động +5,1% trong giai đoạn 2026-2027; (c) khoản vay ADB dựa trên chính sách 2,4 tỷ USD nhắm mục tiêu SME nội địa; (d) tái định vị trong chuỗi giá trị toàn cầu từ lắp ráp downstream sang thiết kế và R&amp;D mid-stream.</w:t>
      </w:r>
    </w:p>
    <w:p>
      <w:pPr>
        <w:pStyle w:val="BodyText"/>
      </w:pPr>
      <w:r>
        <w:rPr>
          <w:bCs/>
          <w:b/>
        </w:rPr>
        <w:t xml:space="preserve">World Bank FCI Snapshot (2025)</w:t>
      </w:r>
      <w:r>
        <w:t xml:space="preserve">: GDP tăng trưởng 7,09% (2024), FDI 20,17 tỷ USD (4,23% GDP), xuất khẩu máy móc và điện tử 45,8% tổng xuất khẩu, tỷ lệ nữ/nam lao động 88,61% (2023).</w:t>
      </w:r>
    </w:p>
    <w:bookmarkEnd w:id="60"/>
    <w:bookmarkStart w:id="61" w:name="trung-quốc-n4.889"/>
    <w:p>
      <w:pPr>
        <w:pStyle w:val="Heading4"/>
      </w:pPr>
      <w:r>
        <w:t xml:space="preserve">2.3.7.4 Trung Quốc (n=4.889)</w:t>
      </w:r>
    </w:p>
    <w:p>
      <w:pPr>
        <w:pStyle w:val="FirstParagraph"/>
      </w:pPr>
      <w:r>
        <w:t xml:space="preserve">FSTS 10,9% xuống 8,8%; FDI $</w:t>
      </w:r>
      <w:r>
        <w:t xml:space="preserve">$10% chiếm 6,0%. Quan hệ FSTS - năng suất có dạng hàm bậc hai (U ngược) với điểm uốn ~47,5% (Đỗ &amp; Phan, 2026, JFAR).</w:t>
      </w:r>
      <w:r>
        <w:t xml:space="preserve"> </w:t>
      </w:r>
      <w:r>
        <w:rPr>
          <w:bCs/>
          <w:b/>
        </w:rPr>
        <w:t xml:space="preserve">Rủi ro tập trung</w:t>
      </w:r>
      <w:r>
        <w:t xml:space="preserve">: Wang, Huang và Hong (2024, IRFA) phân tích 80% mô hình rủi ro ngân hàng tại Trung Quốc phụ thuộc các nhà cung cấp công nghệ chi phối thị trường, cảnh báo cho lộ trình sản xuất thông minh.</w:t>
      </w:r>
    </w:p>
    <w:bookmarkEnd w:id="61"/>
    <w:bookmarkStart w:id="62" w:name="X899cb513c960898c1a25d20448f39c61b9b2c62"/>
    <w:p>
      <w:pPr>
        <w:pStyle w:val="Heading4"/>
      </w:pPr>
      <w:r>
        <w:t xml:space="preserve">2.3.7.5 Tổng hợp Emerging Asia (n=42.278), trường hợp Ấn Độ</w:t>
      </w:r>
    </w:p>
    <w:p>
      <w:pPr>
        <w:pStyle w:val="FirstParagraph"/>
      </w:pPr>
      <w:r>
        <w:t xml:space="preserve">FSTS 7,6%; FDI $</w:t>
      </w:r>
      <w:r>
        <w:t xml:space="preserve">$10% chiếm 4,4%; tỷ lệ doanh nghiệp R&amp;D dương 16%. Phân tán nội bộ lớn (độ lệch chuẩn log 2,18), phản ánh dị biệt rộng xuyên 7 nước.</w:t>
      </w:r>
    </w:p>
    <w:p>
      <w:pPr>
        <w:pStyle w:val="BodyText"/>
      </w:pPr>
      <w:r>
        <w:rPr>
          <w:bCs/>
          <w:b/>
        </w:rPr>
        <w:t xml:space="preserve">Trường hợp Ấn Độ, lan tỏa công nghệ</w:t>
      </w:r>
      <w:r>
        <w:t xml:space="preserve">: Theo Sikdar &amp; Mukhopadhyay (2026,</w:t>
      </w:r>
      <w:r>
        <w:t xml:space="preserve"> </w:t>
      </w:r>
      <w:r>
        <w:rPr>
          <w:iCs/>
          <w:i/>
        </w:rPr>
        <w:t xml:space="preserve">Asian Development Review, 43</w:t>
      </w:r>
      <w:r>
        <w:t xml:space="preserve">(1), 37-75), panel 4.293 doanh nghiệp Ấn Độ 2006-2019: FDI là kênh lan tỏa ngang quan trọng nhất; doanh nghiệp lớn thu nhận lan tỏa nhiều hơn; FDI tăng từ 1,705 triệu USD (1990-2000) lên 42.396 triệu USD (2012-2022); R&amp;D trì trệ ở 0,7% GDP.</w:t>
      </w:r>
    </w:p>
    <w:bookmarkEnd w:id="62"/>
    <w:bookmarkStart w:id="63" w:name="X7b66a270a9cf1e965c06d68bbffe282f59d2e9a"/>
    <w:p>
      <w:pPr>
        <w:pStyle w:val="Heading4"/>
      </w:pPr>
      <w:r>
        <w:t xml:space="preserve">2.3.7.6 Mông Cổ, từ lời nguyền tài nguyên đến khoáng sản thiết yếu (n=1.905)</w:t>
      </w:r>
    </w:p>
    <w:p>
      <w:pPr>
        <w:pStyle w:val="FirstParagraph"/>
      </w:pPr>
      <w:r>
        <w:t xml:space="preserve">FSTS đình trệ 4-6%; FDI $</w:t>
      </w:r>
      <w:r>
        <w:t xml:space="preserve">$10% giảm</w:t>
      </w:r>
      <w:r>
        <w:t xml:space="preserve"> </w:t>
      </w:r>
      <w:r>
        <w:rPr>
          <w:bCs/>
          <w:b/>
        </w:rPr>
        <w:t xml:space="preserve">từ 7,2% xuống 3,2%</w:t>
      </w:r>
      <w:r>
        <w:t xml:space="preserve">; website tăng từ 39% lên 65%. Pattern</w:t>
      </w:r>
      <w:r>
        <w:t xml:space="preserve"> </w:t>
      </w:r>
      <w:r>
        <w:rPr>
          <w:bCs/>
          <w:b/>
        </w:rPr>
        <w:t xml:space="preserve">lời nguyền tài nguyên</w:t>
      </w:r>
      <w:r>
        <w:t xml:space="preserve"> </w:t>
      </w:r>
      <w:r>
        <w:t xml:space="preserve">(Sachs &amp; Warner, 2001).</w:t>
      </w:r>
      <w:r>
        <w:t xml:space="preserve"> </w:t>
      </w:r>
      <w:r>
        <w:rPr>
          <w:bCs/>
          <w:b/>
        </w:rPr>
        <w:t xml:space="preserve">Bước ngoặt 2026</w:t>
      </w:r>
      <w:r>
        <w:t xml:space="preserve">: 11 khoáng sản thiết yếu (Cu, Li, Mo, Mn, Co, Ni, W, REE). Xuất khẩu đồng 1,69 triệu tấn (2024) = 22,1% tổng xuất khẩu. Oyu Tolgoi mục tiêu 500.000 tấn/năm 2028-2036. Trung Quốc chi phối chế biến: 100% graphite, 90% Mn, 70% Co (ADB, 2026, tháng 5).</w:t>
      </w:r>
    </w:p>
    <w:p>
      <w:pPr>
        <w:pStyle w:val="BodyText"/>
      </w:pPr>
      <w:r>
        <w:rPr>
          <w:iCs/>
          <w:i/>
        </w:rPr>
        <w:t xml:space="preserve">Hình 2.3.7.1. Mông Cổ: Tiến triển 2009-2025 (4 đợt khảo sát WBES), FSTS đình trệ trong khi website tăng mạnh; FDI giảm phản ánh lời nguyền tài nguyên giai đoạn 1.</w:t>
      </w:r>
    </w:p>
    <w:bookmarkEnd w:id="63"/>
    <w:bookmarkStart w:id="64" w:name="sids-thái-bình-dương-7-nước-n1.371"/>
    <w:p>
      <w:pPr>
        <w:pStyle w:val="Heading4"/>
      </w:pPr>
      <w:r>
        <w:t xml:space="preserve">2.3.7.7 SIDS Thái Bình Dương (7 nước, n=1.371)</w:t>
      </w:r>
    </w:p>
    <w:p>
      <w:pPr>
        <w:pStyle w:val="FirstParagraph"/>
      </w:pPr>
      <w:r>
        <w:rPr>
          <w:bCs/>
          <w:b/>
        </w:rPr>
        <w:t xml:space="preserve">7 nước</w:t>
      </w:r>
      <w:r>
        <w:t xml:space="preserve">: Fiji (FJI), Papua New Guinea (PNG), Solomon Islands (SLB), Tonga (TON), Vanuatu (VUT), Samoa (WSM),</w:t>
      </w:r>
      <w:r>
        <w:t xml:space="preserve"> </w:t>
      </w:r>
      <w:r>
        <w:rPr>
          <w:bCs/>
          <w:b/>
        </w:rPr>
        <w:t xml:space="preserve">Kiribati (KIR, 2025)</w:t>
      </w:r>
      <w:r>
        <w:t xml:space="preserve">. FSTS 6,3%; FDI $</w:t>
      </w:r>
      <w:r>
        <w:t xml:space="preserve">$10%</w:t>
      </w:r>
      <w:r>
        <w:t xml:space="preserve"> </w:t>
      </w:r>
      <w:r>
        <w:rPr>
          <w:bCs/>
          <w:b/>
        </w:rPr>
        <w:t xml:space="preserve">23,5%</w:t>
      </w:r>
      <w:r>
        <w:t xml:space="preserve">; đổi mới sản phẩm</w:t>
      </w:r>
      <w:r>
        <w:t xml:space="preserve"> </w:t>
      </w:r>
      <w:r>
        <w:rPr>
          <w:bCs/>
          <w:b/>
        </w:rPr>
        <w:t xml:space="preserve">41,5%</w:t>
      </w:r>
      <w:r>
        <w:t xml:space="preserve">; website</w:t>
      </w:r>
      <w:r>
        <w:t xml:space="preserve"> </w:t>
      </w:r>
      <w:r>
        <w:rPr>
          <w:bCs/>
          <w:b/>
        </w:rPr>
        <w:t xml:space="preserve">58,9%</w:t>
      </w:r>
      <w:r>
        <w:t xml:space="preserve">. Pattern</w:t>
      </w:r>
      <w:r>
        <w:t xml:space="preserve"> </w:t>
      </w:r>
      <w:r>
        <w:rPr>
          <w:bCs/>
          <w:b/>
        </w:rPr>
        <w:t xml:space="preserve">thích nghi trong điều kiện ràng buộc</w:t>
      </w:r>
      <w:r>
        <w:t xml:space="preserve">.</w:t>
      </w:r>
    </w:p>
    <w:p>
      <w:pPr>
        <w:pStyle w:val="BodyText"/>
      </w:pPr>
      <w:r>
        <w:rPr>
          <w:bCs/>
          <w:b/>
        </w:rPr>
        <w:t xml:space="preserve">Kiribati 2025, trường hợp biên cực đoan nhất</w:t>
      </w:r>
      <w:r>
        <w:t xml:space="preserve">: FSTS 1,03%, FDI 0,7%, website 18,7%, ISO 1,3%, độ lệch chuẩn log 1,48, SME 93,3%.</w:t>
      </w:r>
    </w:p>
    <w:p>
      <w:pPr>
        <w:pStyle w:val="BodyText"/>
      </w:pPr>
      <w:r>
        <w:rPr>
          <w:bCs/>
          <w:b/>
        </w:rPr>
        <w:t xml:space="preserve">Bối cảnh kinh tế vĩ mô PICs Pacific</w:t>
      </w:r>
      <w:r>
        <w:t xml:space="preserve">: 4 trụ cột MIRAB (Bertram, 2006): (1) khu vực công chủ đạo (30-50% việc làm chính thức); (2) phụ thuộc 4 nguồn ngoại sinh, ODA 30% GDP và remittances 25-40% GDP; (3) thanh niên thất nghiệp 15-30%; (4) lao động di chuyển, PLMS Úc và RSE New Zealand (Vanuatu RSE 15-20% GDP). Chuyên đề 2 cần bổ sung 3 biến kiểm soát đặc trưng PICs:</w:t>
      </w:r>
      <w:r>
        <w:t xml:space="preserve"> </w:t>
      </w:r>
      <w:r>
        <w:rPr>
          <w:rStyle w:val="VerbatimChar"/>
        </w:rPr>
        <w:t xml:space="preserve">aid_share_GDP_pct</w:t>
      </w:r>
      <w:r>
        <w:t xml:space="preserve">,</w:t>
      </w:r>
      <w:r>
        <w:t xml:space="preserve"> </w:t>
      </w:r>
      <w:r>
        <w:rPr>
          <w:rStyle w:val="VerbatimChar"/>
        </w:rPr>
        <w:t xml:space="preserve">remittance_share_GDP_pct</w:t>
      </w:r>
      <w:r>
        <w:t xml:space="preserve">,</w:t>
      </w:r>
      <w:r>
        <w:t xml:space="preserve"> </w:t>
      </w:r>
      <w:r>
        <w:rPr>
          <w:rStyle w:val="VerbatimChar"/>
        </w:rPr>
        <w:t xml:space="preserve">seasonal_worker_outflow_pct</w:t>
      </w:r>
      <w:r>
        <w:t xml:space="preserve">.</w:t>
      </w:r>
    </w:p>
    <w:bookmarkEnd w:id="64"/>
    <w:bookmarkStart w:id="65" w:name="so-sánh-tổng-hợp"/>
    <w:p>
      <w:pPr>
        <w:pStyle w:val="Heading4"/>
      </w:pPr>
      <w:r>
        <w:t xml:space="preserve">2.3.7.8 So sánh tổng hợp</w:t>
      </w:r>
    </w:p>
    <w:p>
      <w:pPr>
        <w:pStyle w:val="FirstParagraph"/>
      </w:pPr>
      <w:r>
        <w:rPr>
          <w:bCs/>
          <w:b/>
        </w:rPr>
        <w:t xml:space="preserve">Bảng 2.3.7.1</w:t>
      </w:r>
      <w:r>
        <w:t xml:space="preserve">.</w:t>
      </w:r>
      <w:r>
        <w:t xml:space="preserve"> </w:t>
      </w:r>
      <w:r>
        <w:rPr>
          <w:iCs/>
          <w:i/>
        </w:rPr>
        <w:t xml:space="preserve">Ma trận so sánh đa chiều bảy tiểu cảnh điển hình.</w:t>
      </w:r>
    </w:p>
    <w:tbl>
      <w:tblPr>
        <w:tblStyle w:val="Table"/>
        <w:tblW w:type="pct" w:w="5000"/>
        <w:tblLook w:firstRow="1" w:lastRow="0" w:firstColumn="0" w:lastColumn="0" w:noHBand="0" w:noVBand="0" w:val="0020"/>
        <w:jc w:val="start"/>
      </w:tblPr>
      <w:tblGrid>
        <w:gridCol w:w="990"/>
        <w:gridCol w:w="990"/>
        <w:gridCol w:w="990"/>
        <w:gridCol w:w="990"/>
        <w:gridCol w:w="990"/>
        <w:gridCol w:w="990"/>
        <w:gridCol w:w="990"/>
        <w:gridCol w:w="990"/>
      </w:tblGrid>
      <w:tr>
        <w:trPr>
          <w:tblHeader w:val="true"/>
        </w:trPr>
        <w:tc>
          <w:tcPr/>
          <w:p>
            <w:pPr>
              <w:pStyle w:val="Compact"/>
              <w:jc w:val="left"/>
            </w:pPr>
            <w:r>
              <w:t xml:space="preserve">Chỉ số</w:t>
            </w:r>
          </w:p>
        </w:tc>
        <w:tc>
          <w:tcPr/>
          <w:p>
            <w:pPr>
              <w:pStyle w:val="Compact"/>
              <w:jc w:val="left"/>
            </w:pPr>
            <w:r>
              <w:t xml:space="preserve">Singapore</w:t>
            </w:r>
          </w:p>
        </w:tc>
        <w:tc>
          <w:tcPr/>
          <w:p>
            <w:pPr>
              <w:pStyle w:val="Compact"/>
              <w:jc w:val="left"/>
            </w:pPr>
            <w:r>
              <w:t xml:space="preserve">Việt Nam</w:t>
            </w:r>
          </w:p>
        </w:tc>
        <w:tc>
          <w:tcPr/>
          <w:p>
            <w:pPr>
              <w:pStyle w:val="Compact"/>
              <w:jc w:val="left"/>
            </w:pPr>
            <w:r>
              <w:t xml:space="preserve">Trung Quốc</w:t>
            </w:r>
          </w:p>
        </w:tc>
        <w:tc>
          <w:tcPr/>
          <w:p>
            <w:pPr>
              <w:pStyle w:val="Compact"/>
              <w:jc w:val="left"/>
            </w:pPr>
            <w:r>
              <w:t xml:space="preserve">Em Asia</w:t>
            </w:r>
          </w:p>
        </w:tc>
        <w:tc>
          <w:tcPr/>
          <w:p>
            <w:pPr>
              <w:pStyle w:val="Compact"/>
              <w:jc w:val="left"/>
            </w:pPr>
            <w:r>
              <w:t xml:space="preserve">Mông Cổ</w:t>
            </w:r>
          </w:p>
        </w:tc>
        <w:tc>
          <w:tcPr/>
          <w:p>
            <w:pPr>
              <w:pStyle w:val="Compact"/>
              <w:jc w:val="left"/>
            </w:pPr>
            <w:r>
              <w:t xml:space="preserve">SIDS Thái Bình Dương</w:t>
            </w:r>
          </w:p>
        </w:tc>
        <w:tc>
          <w:tcPr/>
          <w:p>
            <w:pPr>
              <w:pStyle w:val="Compact"/>
              <w:jc w:val="left"/>
            </w:pPr>
            <w:r>
              <w:t xml:space="preserve">Saudi+Qatar+Kuwait</w:t>
            </w:r>
          </w:p>
        </w:tc>
      </w:tr>
      <w:tr>
        <w:tc>
          <w:tcPr/>
          <w:p>
            <w:pPr>
              <w:pStyle w:val="Compact"/>
              <w:jc w:val="left"/>
            </w:pPr>
            <w:r>
              <w:t xml:space="preserve">n_firms</w:t>
            </w:r>
          </w:p>
        </w:tc>
        <w:tc>
          <w:tcPr/>
          <w:p>
            <w:pPr>
              <w:pStyle w:val="Compact"/>
              <w:jc w:val="left"/>
            </w:pPr>
            <w:r>
              <w:t xml:space="preserve">623</w:t>
            </w:r>
          </w:p>
        </w:tc>
        <w:tc>
          <w:tcPr/>
          <w:p>
            <w:pPr>
              <w:pStyle w:val="Compact"/>
              <w:jc w:val="left"/>
            </w:pPr>
            <w:r>
              <w:t xml:space="preserve">3.077</w:t>
            </w:r>
          </w:p>
        </w:tc>
        <w:tc>
          <w:tcPr/>
          <w:p>
            <w:pPr>
              <w:pStyle w:val="Compact"/>
              <w:jc w:val="left"/>
            </w:pPr>
            <w:r>
              <w:t xml:space="preserve">4.889</w:t>
            </w:r>
          </w:p>
        </w:tc>
        <w:tc>
          <w:tcPr/>
          <w:p>
            <w:pPr>
              <w:pStyle w:val="Compact"/>
              <w:jc w:val="left"/>
            </w:pPr>
            <w:r>
              <w:t xml:space="preserve">42.278</w:t>
            </w:r>
          </w:p>
        </w:tc>
        <w:tc>
          <w:tcPr/>
          <w:p>
            <w:pPr>
              <w:pStyle w:val="Compact"/>
              <w:jc w:val="left"/>
            </w:pPr>
            <w:r>
              <w:t xml:space="preserve">1.905</w:t>
            </w:r>
          </w:p>
        </w:tc>
        <w:tc>
          <w:tcPr/>
          <w:p>
            <w:pPr>
              <w:pStyle w:val="Compact"/>
              <w:jc w:val="left"/>
            </w:pPr>
            <w:r>
              <w:rPr>
                <w:bCs/>
                <w:b/>
              </w:rPr>
              <w:t xml:space="preserve">1.371</w:t>
            </w:r>
          </w:p>
        </w:tc>
        <w:tc>
          <w:tcPr/>
          <w:p>
            <w:pPr>
              <w:pStyle w:val="Compact"/>
              <w:jc w:val="left"/>
            </w:pPr>
            <w:r>
              <w:t xml:space="preserve">1.632</w:t>
            </w:r>
          </w:p>
        </w:tc>
      </w:tr>
      <w:tr>
        <w:tc>
          <w:tcPr/>
          <w:p>
            <w:pPr>
              <w:pStyle w:val="Compact"/>
              <w:jc w:val="left"/>
            </w:pPr>
            <w:r>
              <w:t xml:space="preserve">FSTS (%)</w:t>
            </w:r>
          </w:p>
        </w:tc>
        <w:tc>
          <w:tcPr/>
          <w:p>
            <w:pPr>
              <w:pStyle w:val="Compact"/>
              <w:jc w:val="left"/>
            </w:pPr>
            <w:r>
              <w:t xml:space="preserve">7,1</w:t>
            </w:r>
          </w:p>
        </w:tc>
        <w:tc>
          <w:tcPr/>
          <w:p>
            <w:pPr>
              <w:pStyle w:val="Compact"/>
              <w:jc w:val="left"/>
            </w:pPr>
            <w:r>
              <w:t xml:space="preserve">19,1</w:t>
            </w:r>
          </w:p>
        </w:tc>
        <w:tc>
          <w:tcPr/>
          <w:p>
            <w:pPr>
              <w:pStyle w:val="Compact"/>
              <w:jc w:val="left"/>
            </w:pPr>
            <w:r>
              <w:t xml:space="preserve">9,9</w:t>
            </w:r>
          </w:p>
        </w:tc>
        <w:tc>
          <w:tcPr/>
          <w:p>
            <w:pPr>
              <w:pStyle w:val="Compact"/>
              <w:jc w:val="left"/>
            </w:pPr>
            <w:r>
              <w:t xml:space="preserve">7,6</w:t>
            </w:r>
          </w:p>
        </w:tc>
        <w:tc>
          <w:tcPr/>
          <w:p>
            <w:pPr>
              <w:pStyle w:val="Compact"/>
              <w:jc w:val="left"/>
            </w:pPr>
            <w:r>
              <w:rPr>
                <w:bCs/>
                <w:b/>
              </w:rPr>
              <w:t xml:space="preserve">5,0</w:t>
            </w:r>
          </w:p>
        </w:tc>
        <w:tc>
          <w:tcPr/>
          <w:p>
            <w:pPr>
              <w:pStyle w:val="Compact"/>
              <w:jc w:val="left"/>
            </w:pPr>
            <w:r>
              <w:t xml:space="preserve">6,3</w:t>
            </w:r>
          </w:p>
        </w:tc>
        <w:tc>
          <w:tcPr/>
          <w:p>
            <w:pPr>
              <w:pStyle w:val="Compact"/>
              <w:jc w:val="left"/>
            </w:pPr>
            <w:r>
              <w:rPr>
                <w:bCs/>
                <w:b/>
              </w:rPr>
              <w:t xml:space="preserve">2,4</w:t>
            </w:r>
          </w:p>
        </w:tc>
      </w:tr>
      <w:tr>
        <w:tc>
          <w:tcPr/>
          <w:p>
            <w:pPr>
              <w:pStyle w:val="Compact"/>
              <w:jc w:val="left"/>
            </w:pPr>
            <w:r>
              <w:t xml:space="preserve">FDI $</w:t>
            </w:r>
            <w:r>
              <w:t xml:space="preserve">$10% (%)</w:t>
            </w:r>
          </w:p>
        </w:tc>
        <w:tc>
          <w:tcPr/>
          <w:p>
            <w:pPr>
              <w:pStyle w:val="Compact"/>
              <w:jc w:val="left"/>
            </w:pPr>
            <w:r>
              <w:rPr>
                <w:bCs/>
                <w:b/>
              </w:rPr>
              <w:t xml:space="preserve">31,5</w:t>
            </w:r>
          </w:p>
        </w:tc>
        <w:tc>
          <w:tcPr/>
          <w:p>
            <w:pPr>
              <w:pStyle w:val="Compact"/>
              <w:jc w:val="left"/>
            </w:pPr>
            <w:r>
              <w:t xml:space="preserve">11,4</w:t>
            </w:r>
          </w:p>
        </w:tc>
        <w:tc>
          <w:tcPr/>
          <w:p>
            <w:pPr>
              <w:pStyle w:val="Compact"/>
              <w:jc w:val="left"/>
            </w:pPr>
            <w:r>
              <w:t xml:space="preserve">6,0</w:t>
            </w:r>
          </w:p>
        </w:tc>
        <w:tc>
          <w:tcPr/>
          <w:p>
            <w:pPr>
              <w:pStyle w:val="Compact"/>
              <w:jc w:val="left"/>
            </w:pPr>
            <w:r>
              <w:t xml:space="preserve">4,4</w:t>
            </w:r>
          </w:p>
        </w:tc>
        <w:tc>
          <w:tcPr/>
          <w:p>
            <w:pPr>
              <w:pStyle w:val="Compact"/>
              <w:jc w:val="left"/>
            </w:pPr>
            <w:r>
              <w:rPr>
                <w:bCs/>
                <w:b/>
              </w:rPr>
              <w:t xml:space="preserve">4,7</w:t>
            </w:r>
          </w:p>
        </w:tc>
        <w:tc>
          <w:tcPr/>
          <w:p>
            <w:pPr>
              <w:pStyle w:val="Compact"/>
              <w:jc w:val="left"/>
            </w:pPr>
            <w:r>
              <w:t xml:space="preserve">23,5</w:t>
            </w:r>
          </w:p>
        </w:tc>
        <w:tc>
          <w:tcPr/>
          <w:p>
            <w:pPr>
              <w:pStyle w:val="Compact"/>
              <w:jc w:val="left"/>
            </w:pPr>
            <w:r>
              <w:rPr>
                <w:bCs/>
                <w:b/>
              </w:rPr>
              <w:t xml:space="preserve">11,5</w:t>
            </w:r>
          </w:p>
        </w:tc>
      </w:tr>
      <w:tr>
        <w:tc>
          <w:tcPr/>
          <w:p>
            <w:pPr>
              <w:pStyle w:val="Compact"/>
              <w:jc w:val="left"/>
            </w:pPr>
            <w:r>
              <w:t xml:space="preserve">R&amp;D dương (%)</w:t>
            </w:r>
          </w:p>
        </w:tc>
        <w:tc>
          <w:tcPr/>
          <w:p>
            <w:pPr>
              <w:pStyle w:val="Compact"/>
              <w:jc w:val="left"/>
            </w:pPr>
            <w:r>
              <w:t xml:space="preserve">7,5</w:t>
            </w:r>
          </w:p>
        </w:tc>
        <w:tc>
          <w:tcPr/>
          <w:p>
            <w:pPr>
              <w:pStyle w:val="Compact"/>
              <w:jc w:val="left"/>
            </w:pPr>
            <w:r>
              <w:rPr>
                <w:bCs/>
                <w:b/>
              </w:rPr>
              <w:t xml:space="preserve">3,1</w:t>
            </w:r>
          </w:p>
        </w:tc>
        <w:tc>
          <w:tcPr/>
          <w:p>
            <w:pPr>
              <w:pStyle w:val="Compact"/>
              <w:jc w:val="left"/>
            </w:pPr>
            <w:r>
              <w:rPr>
                <w:bCs/>
                <w:b/>
              </w:rPr>
              <w:t xml:space="preserve">39,4</w:t>
            </w:r>
          </w:p>
        </w:tc>
        <w:tc>
          <w:tcPr/>
          <w:p>
            <w:pPr>
              <w:pStyle w:val="Compact"/>
              <w:jc w:val="left"/>
            </w:pPr>
            <w:r>
              <w:t xml:space="preserve">16</w:t>
            </w:r>
          </w:p>
        </w:tc>
        <w:tc>
          <w:tcPr/>
          <w:p>
            <w:pPr>
              <w:pStyle w:val="Compact"/>
              <w:jc w:val="left"/>
            </w:pPr>
            <w:r>
              <w:rPr>
                <w:bCs/>
                <w:b/>
              </w:rPr>
              <w:t xml:space="preserve">20,8</w:t>
            </w:r>
          </w:p>
        </w:tc>
        <w:tc>
          <w:tcPr/>
          <w:p>
            <w:pPr>
              <w:pStyle w:val="Compact"/>
              <w:jc w:val="left"/>
            </w:pPr>
            <w:r>
              <w:t xml:space="preserve">11,8</w:t>
            </w:r>
          </w:p>
        </w:tc>
        <w:tc>
          <w:tcPr/>
          <w:p>
            <w:pPr>
              <w:pStyle w:val="Compact"/>
              <w:jc w:val="left"/>
            </w:pPr>
            <w:r>
              <w:rPr>
                <w:bCs/>
                <w:b/>
              </w:rPr>
              <w:t xml:space="preserve">3,1</w:t>
            </w:r>
          </w:p>
        </w:tc>
      </w:tr>
      <w:tr>
        <w:tc>
          <w:tcPr/>
          <w:p>
            <w:pPr>
              <w:pStyle w:val="Compact"/>
              <w:jc w:val="left"/>
            </w:pPr>
            <w:r>
              <w:t xml:space="preserve">Website (%)</w:t>
            </w:r>
          </w:p>
        </w:tc>
        <w:tc>
          <w:tcPr/>
          <w:p>
            <w:pPr>
              <w:pStyle w:val="Compact"/>
              <w:jc w:val="left"/>
            </w:pPr>
            <w:r>
              <w:t xml:space="preserve">66,1</w:t>
            </w:r>
          </w:p>
        </w:tc>
        <w:tc>
          <w:tcPr/>
          <w:p>
            <w:pPr>
              <w:pStyle w:val="Compact"/>
              <w:jc w:val="left"/>
            </w:pPr>
            <w:r>
              <w:rPr>
                <w:bCs/>
                <w:b/>
              </w:rPr>
              <w:t xml:space="preserve">47,0</w:t>
            </w:r>
          </w:p>
        </w:tc>
        <w:tc>
          <w:tcPr/>
          <w:p>
            <w:pPr>
              <w:pStyle w:val="Compact"/>
              <w:jc w:val="left"/>
            </w:pPr>
            <w:r>
              <w:rPr>
                <w:bCs/>
                <w:b/>
              </w:rPr>
              <w:t xml:space="preserve">58,7</w:t>
            </w:r>
          </w:p>
        </w:tc>
        <w:tc>
          <w:tcPr/>
          <w:p>
            <w:pPr>
              <w:pStyle w:val="Compact"/>
              <w:jc w:val="left"/>
            </w:pPr>
            <w:r>
              <w:rPr>
                <w:bCs/>
                <w:b/>
              </w:rPr>
              <w:t xml:space="preserve">48,0</w:t>
            </w:r>
          </w:p>
        </w:tc>
        <w:tc>
          <w:tcPr/>
          <w:p>
            <w:pPr>
              <w:pStyle w:val="Compact"/>
              <w:jc w:val="left"/>
            </w:pPr>
            <w:r>
              <w:rPr>
                <w:bCs/>
                <w:b/>
              </w:rPr>
              <w:t xml:space="preserve">50,1</w:t>
            </w:r>
          </w:p>
        </w:tc>
        <w:tc>
          <w:tcPr/>
          <w:p>
            <w:pPr>
              <w:pStyle w:val="Compact"/>
              <w:jc w:val="left"/>
            </w:pPr>
            <w:r>
              <w:t xml:space="preserve">58,9</w:t>
            </w:r>
          </w:p>
        </w:tc>
        <w:tc>
          <w:tcPr/>
          <w:p>
            <w:pPr>
              <w:pStyle w:val="Compact"/>
              <w:jc w:val="left"/>
            </w:pPr>
            <w:r>
              <w:rPr>
                <w:bCs/>
                <w:b/>
              </w:rPr>
              <w:t xml:space="preserve">43,6</w:t>
            </w:r>
          </w:p>
        </w:tc>
      </w:tr>
      <w:tr>
        <w:tc>
          <w:tcPr/>
          <w:p>
            <w:pPr>
              <w:pStyle w:val="Compact"/>
              <w:jc w:val="left"/>
            </w:pPr>
            <w:r>
              <w:t xml:space="preserve">sd log năng suất</w:t>
            </w:r>
          </w:p>
        </w:tc>
        <w:tc>
          <w:tcPr/>
          <w:p>
            <w:pPr>
              <w:pStyle w:val="Compact"/>
              <w:jc w:val="left"/>
            </w:pPr>
            <w:r>
              <w:t xml:space="preserve">1,03</w:t>
            </w:r>
          </w:p>
        </w:tc>
        <w:tc>
          <w:tcPr/>
          <w:p>
            <w:pPr>
              <w:pStyle w:val="Compact"/>
              <w:jc w:val="left"/>
            </w:pPr>
            <w:r>
              <w:t xml:space="preserve">1,38</w:t>
            </w:r>
          </w:p>
        </w:tc>
        <w:tc>
          <w:tcPr/>
          <w:p>
            <w:pPr>
              <w:pStyle w:val="Compact"/>
              <w:jc w:val="left"/>
            </w:pPr>
            <w:r>
              <w:t xml:space="preserve">1,20</w:t>
            </w:r>
          </w:p>
        </w:tc>
        <w:tc>
          <w:tcPr/>
          <w:p>
            <w:pPr>
              <w:pStyle w:val="Compact"/>
              <w:jc w:val="left"/>
            </w:pPr>
            <w:r>
              <w:t xml:space="preserve">2,18</w:t>
            </w:r>
          </w:p>
        </w:tc>
        <w:tc>
          <w:tcPr/>
          <w:p>
            <w:pPr>
              <w:pStyle w:val="Compact"/>
              <w:jc w:val="left"/>
            </w:pPr>
            <w:r>
              <w:rPr>
                <w:bCs/>
                <w:b/>
              </w:rPr>
              <w:t xml:space="preserve">1,16</w:t>
            </w:r>
          </w:p>
        </w:tc>
        <w:tc>
          <w:tcPr/>
          <w:p>
            <w:pPr>
              <w:pStyle w:val="Compact"/>
              <w:jc w:val="left"/>
            </w:pPr>
            <w:r>
              <w:t xml:space="preserve">1,32</w:t>
            </w:r>
          </w:p>
        </w:tc>
        <w:tc>
          <w:tcPr/>
          <w:p>
            <w:pPr>
              <w:pStyle w:val="Compact"/>
              <w:jc w:val="left"/>
            </w:pPr>
            <w:r>
              <w:rPr>
                <w:bCs/>
                <w:b/>
              </w:rPr>
              <w:t xml:space="preserve">0,49</w:t>
            </w:r>
          </w:p>
        </w:tc>
      </w:tr>
    </w:tbl>
    <w:p>
      <w:pPr>
        <w:pStyle w:val="BodyText"/>
      </w:pPr>
      <w:r>
        <w:rPr>
          <w:iCs/>
          <w:i/>
        </w:rPr>
        <w:t xml:space="preserve">Bao gồm Kiribati 2025 trong hàng SIDS.</w:t>
      </w:r>
    </w:p>
    <w:p>
      <w:r>
        <w:pict>
          <v:rect style="width:0;height:1.5pt" o:hralign="center" o:hrstd="t" o:hr="t"/>
        </w:pict>
      </w:r>
    </w:p>
    <w:bookmarkEnd w:id="65"/>
    <w:bookmarkEnd w:id="66"/>
    <w:bookmarkStart w:id="70" w:name="yếu-tố-giải-thích-sơ-bộ"/>
    <w:p>
      <w:pPr>
        <w:pStyle w:val="Heading3"/>
      </w:pPr>
      <w:r>
        <w:t xml:space="preserve">2.3.8 Yếu tố giải thích sơ bộ</w:t>
      </w:r>
    </w:p>
    <w:bookmarkStart w:id="67" w:name="hệ-số-tương-quan-pearson"/>
    <w:p>
      <w:pPr>
        <w:pStyle w:val="Heading4"/>
      </w:pPr>
      <w:r>
        <w:t xml:space="preserve">2.3.8.1 Hệ số tương quan Pearson</w:t>
      </w:r>
    </w:p>
    <w:p>
      <w:pPr>
        <w:pStyle w:val="FirstParagraph"/>
      </w:pPr>
      <w:r>
        <w:rPr>
          <w:bCs/>
          <w:b/>
        </w:rPr>
        <w:t xml:space="preserve">Bảng 2.3.8.1</w:t>
      </w:r>
      <w:r>
        <w:t xml:space="preserve">.</w:t>
      </w:r>
      <w:r>
        <w:t xml:space="preserve"> </w:t>
      </w:r>
      <w:r>
        <w:rPr>
          <w:iCs/>
          <w:i/>
        </w:rPr>
        <w:t xml:space="preserve">Hệ số tương quan Pearson theo nhóm ICRV (n = 101.185).</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Yếu tố</w:t>
            </w:r>
          </w:p>
        </w:tc>
        <w:tc>
          <w:tcPr/>
          <w:p>
            <w:pPr>
              <w:pStyle w:val="Compact"/>
              <w:jc w:val="left"/>
            </w:pPr>
            <w:r>
              <w:t xml:space="preserve">Advanced</w:t>
            </w:r>
          </w:p>
        </w:tc>
        <w:tc>
          <w:tcPr/>
          <w:p>
            <w:pPr>
              <w:pStyle w:val="Compact"/>
              <w:jc w:val="left"/>
            </w:pPr>
            <w:r>
              <w:t xml:space="preserve">Upper-middle</w:t>
            </w:r>
          </w:p>
        </w:tc>
        <w:tc>
          <w:tcPr/>
          <w:p>
            <w:pPr>
              <w:pStyle w:val="Compact"/>
              <w:jc w:val="left"/>
            </w:pPr>
            <w:r>
              <w:t xml:space="preserve">Emerging</w:t>
            </w:r>
          </w:p>
        </w:tc>
        <w:tc>
          <w:tcPr/>
          <w:p>
            <w:pPr>
              <w:pStyle w:val="Compact"/>
              <w:jc w:val="left"/>
            </w:pPr>
            <w:r>
              <w:t xml:space="preserve">Frontier</w:t>
            </w:r>
          </w:p>
        </w:tc>
        <w:tc>
          <w:tcPr/>
          <w:p>
            <w:pPr>
              <w:pStyle w:val="Compact"/>
              <w:jc w:val="left"/>
            </w:pPr>
            <w:r>
              <w:t xml:space="preserve">SIDS</w:t>
            </w:r>
          </w:p>
        </w:tc>
      </w:tr>
      <w:tr>
        <w:tc>
          <w:tcPr/>
          <w:p>
            <w:pPr>
              <w:pStyle w:val="Compact"/>
              <w:jc w:val="left"/>
            </w:pPr>
            <w:r>
              <w:t xml:space="preserve">FDI</w:t>
            </w:r>
            <w:r>
              <w:t xml:space="preserve"> </w:t>
            </w:r>
            <m:oMath>
              <m:r>
                <m:rPr>
                  <m:sty m:val="p"/>
                </m:rPr>
                <m:t>≥</m:t>
              </m:r>
            </m:oMath>
            <w:r>
              <w:t xml:space="preserve"> </w:t>
            </w:r>
            <w:r>
              <w:t xml:space="preserve">10%</w:t>
            </w:r>
          </w:p>
        </w:tc>
        <w:tc>
          <w:tcPr/>
          <w:p>
            <w:pPr>
              <w:pStyle w:val="Compact"/>
              <w:jc w:val="left"/>
            </w:pPr>
            <w:r>
              <w:t xml:space="preserve">−0,113</w:t>
            </w:r>
          </w:p>
        </w:tc>
        <w:tc>
          <w:tcPr/>
          <w:p>
            <w:pPr>
              <w:pStyle w:val="Compact"/>
              <w:jc w:val="left"/>
            </w:pPr>
            <w:r>
              <w:t xml:space="preserve">−0,023</w:t>
            </w:r>
          </w:p>
        </w:tc>
        <w:tc>
          <w:tcPr/>
          <w:p>
            <w:pPr>
              <w:pStyle w:val="Compact"/>
              <w:jc w:val="left"/>
            </w:pPr>
            <w:r>
              <w:t xml:space="preserve">+0,113</w:t>
            </w:r>
          </w:p>
        </w:tc>
        <w:tc>
          <w:tcPr/>
          <w:p>
            <w:pPr>
              <w:pStyle w:val="Compact"/>
              <w:jc w:val="left"/>
            </w:pPr>
            <w:r>
              <w:t xml:space="preserve">+0,068</w:t>
            </w:r>
          </w:p>
        </w:tc>
        <w:tc>
          <w:tcPr/>
          <w:p>
            <w:pPr>
              <w:pStyle w:val="Compact"/>
              <w:jc w:val="left"/>
            </w:pPr>
            <w:r>
              <w:rPr>
                <w:bCs/>
                <w:b/>
              </w:rPr>
              <w:t xml:space="preserve">+0,222</w:t>
            </w:r>
          </w:p>
        </w:tc>
      </w:tr>
      <w:tr>
        <w:tc>
          <w:tcPr/>
          <w:p>
            <w:pPr>
              <w:pStyle w:val="Compact"/>
              <w:jc w:val="left"/>
            </w:pPr>
            <w:r>
              <w:t xml:space="preserve">FSTS</w:t>
            </w:r>
          </w:p>
        </w:tc>
        <w:tc>
          <w:tcPr/>
          <w:p>
            <w:pPr>
              <w:pStyle w:val="Compact"/>
              <w:jc w:val="left"/>
            </w:pPr>
            <w:r>
              <w:rPr>
                <w:bCs/>
                <w:b/>
              </w:rPr>
              <w:t xml:space="preserve">+0,113</w:t>
            </w:r>
          </w:p>
        </w:tc>
        <w:tc>
          <w:tcPr/>
          <w:p>
            <w:pPr>
              <w:pStyle w:val="Compact"/>
              <w:jc w:val="left"/>
            </w:pPr>
            <w:r>
              <w:t xml:space="preserve">−0,086</w:t>
            </w:r>
          </w:p>
        </w:tc>
        <w:tc>
          <w:tcPr/>
          <w:p>
            <w:pPr>
              <w:pStyle w:val="Compact"/>
              <w:jc w:val="left"/>
            </w:pPr>
            <w:r>
              <w:t xml:space="preserve">+0,062</w:t>
            </w:r>
          </w:p>
        </w:tc>
        <w:tc>
          <w:tcPr/>
          <w:p>
            <w:pPr>
              <w:pStyle w:val="Compact"/>
              <w:jc w:val="left"/>
            </w:pPr>
            <w:r>
              <w:t xml:space="preserve">+0,014</w:t>
            </w:r>
          </w:p>
        </w:tc>
        <w:tc>
          <w:tcPr/>
          <w:p>
            <w:pPr>
              <w:pStyle w:val="Compact"/>
              <w:jc w:val="left"/>
            </w:pPr>
            <w:r>
              <w:t xml:space="preserve">−0,050</w:t>
            </w:r>
          </w:p>
        </w:tc>
      </w:tr>
      <w:tr>
        <w:tc>
          <w:tcPr/>
          <w:p>
            <w:pPr>
              <w:pStyle w:val="Compact"/>
              <w:jc w:val="left"/>
            </w:pPr>
            <w:r>
              <w:t xml:space="preserve">TCI (R&amp;D + ISO)</w:t>
            </w:r>
          </w:p>
        </w:tc>
        <w:tc>
          <w:tcPr/>
          <w:p>
            <w:pPr>
              <w:pStyle w:val="Compact"/>
              <w:jc w:val="left"/>
            </w:pPr>
            <w:r>
              <w:rPr>
                <w:bCs/>
                <w:b/>
              </w:rPr>
              <w:t xml:space="preserve">+0,128</w:t>
            </w:r>
          </w:p>
        </w:tc>
        <w:tc>
          <w:tcPr/>
          <w:p>
            <w:pPr>
              <w:pStyle w:val="Compact"/>
              <w:jc w:val="left"/>
            </w:pPr>
            <w:r>
              <w:t xml:space="preserve">+0,016</w:t>
            </w:r>
          </w:p>
        </w:tc>
        <w:tc>
          <w:tcPr/>
          <w:p>
            <w:pPr>
              <w:pStyle w:val="Compact"/>
              <w:jc w:val="left"/>
            </w:pPr>
            <w:r>
              <w:t xml:space="preserve">−0,029</w:t>
            </w:r>
          </w:p>
        </w:tc>
        <w:tc>
          <w:tcPr/>
          <w:p>
            <w:pPr>
              <w:pStyle w:val="Compact"/>
              <w:jc w:val="left"/>
            </w:pPr>
            <w:r>
              <w:t xml:space="preserve">+0,019</w:t>
            </w:r>
          </w:p>
        </w:tc>
        <w:tc>
          <w:tcPr/>
          <w:p>
            <w:pPr>
              <w:pStyle w:val="Compact"/>
              <w:jc w:val="left"/>
            </w:pPr>
            <w:r>
              <w:rPr>
                <w:bCs/>
                <w:b/>
              </w:rPr>
              <w:t xml:space="preserve">+0,155</w:t>
            </w:r>
          </w:p>
        </w:tc>
      </w:tr>
      <w:tr>
        <w:tc>
          <w:tcPr/>
          <w:p>
            <w:pPr>
              <w:pStyle w:val="Compact"/>
              <w:jc w:val="left"/>
            </w:pPr>
            <w:r>
              <w:t xml:space="preserve">DAI (website)</w:t>
            </w:r>
          </w:p>
        </w:tc>
        <w:tc>
          <w:tcPr/>
          <w:p>
            <w:pPr>
              <w:pStyle w:val="Compact"/>
              <w:jc w:val="left"/>
            </w:pPr>
            <w:r>
              <w:rPr>
                <w:bCs/>
                <w:b/>
              </w:rPr>
              <w:t xml:space="preserve">−0,129</w:t>
            </w:r>
          </w:p>
        </w:tc>
        <w:tc>
          <w:tcPr/>
          <w:p>
            <w:pPr>
              <w:pStyle w:val="Compact"/>
              <w:jc w:val="left"/>
            </w:pPr>
            <w:r>
              <w:t xml:space="preserve">+0,012</w:t>
            </w:r>
          </w:p>
        </w:tc>
        <w:tc>
          <w:tcPr/>
          <w:p>
            <w:pPr>
              <w:pStyle w:val="Compact"/>
              <w:jc w:val="left"/>
            </w:pPr>
            <w:r>
              <w:t xml:space="preserve">+0,016</w:t>
            </w:r>
          </w:p>
        </w:tc>
        <w:tc>
          <w:tcPr/>
          <w:p>
            <w:pPr>
              <w:pStyle w:val="Compact"/>
              <w:jc w:val="left"/>
            </w:pPr>
            <w:r>
              <w:t xml:space="preserve">+0,070</w:t>
            </w:r>
          </w:p>
        </w:tc>
        <w:tc>
          <w:tcPr/>
          <w:p>
            <w:pPr>
              <w:pStyle w:val="Compact"/>
              <w:jc w:val="left"/>
            </w:pPr>
            <w:r>
              <w:t xml:space="preserve">−0,049</w:t>
            </w:r>
          </w:p>
        </w:tc>
      </w:tr>
    </w:tbl>
    <w:p>
      <w:pPr>
        <w:pStyle w:val="BodyText"/>
      </w:pPr>
      <w:r>
        <w:rPr>
          <w:iCs/>
          <w:i/>
        </w:rPr>
        <w:t xml:space="preserve">Ghi chú: Tất cả hệ số có p &lt; 0,01 (kiểm định hai phía). Sai số chuẩn vững HC1.</w:t>
      </w:r>
    </w:p>
    <w:p>
      <w:pPr>
        <w:pStyle w:val="BodyText"/>
      </w:pPr>
      <w:r>
        <w:t xml:space="preserve">Sáu phát hiện chính: (1) FDI dương mạnh ở SIDS (+0,222), FDI ngoại sinh là nguồn năng suất chủ đạo; (2) FDI âm tại Advanced (−0,113), doanh nghiệp FDI không có lợi thế tại thị trường trưởng thành; (3) FSTS dương tại Advanced (+0,113), xác nhận lý thuyết Uppsala; (4) TCI dương đồng đều SIDS và Advanced; (5) DAI âm tại Advanced (−0,129), Nghịch lý bão hòa số; (6) Đảo dấu cross-regime, thể chế điều tiết chiều hướng cơ chế (Xu, 2024).</w:t>
      </w:r>
    </w:p>
    <w:p>
      <w:pPr>
        <w:pStyle w:val="BodyText"/>
      </w:pPr>
      <w:r>
        <w:rPr>
          <w:bCs/>
          <w:b/>
        </w:rPr>
        <w:t xml:space="preserve">Cảnh báo schema BREADY 2025</w:t>
      </w:r>
      <w:r>
        <w:t xml:space="preserve">: Bảng 2.3.8.1 có thể bị nhiễu hiệu ứng schema, cần kiểm chứng qua hệ thống phòng thủ ba tầng (Mục 2.2) trước khi suy diễn nhân quả.</w:t>
      </w:r>
    </w:p>
    <w:bookmarkEnd w:id="67"/>
    <w:bookmarkStart w:id="68" w:name="X7a2cacb152e06bbc0cb3173c16d9e101bae83b4"/>
    <w:p>
      <w:pPr>
        <w:pStyle w:val="Heading4"/>
      </w:pPr>
      <w:r>
        <w:t xml:space="preserve">2.3.8.2 Pattern giới tính trong quản lý và sở hữu, EAP dẫn đầu toàn cầu</w:t>
      </w:r>
    </w:p>
    <w:p>
      <w:pPr>
        <w:pStyle w:val="FirstParagraph"/>
      </w:pPr>
      <w:r>
        <w:rPr>
          <w:bCs/>
          <w:b/>
        </w:rPr>
        <w:t xml:space="preserve">Bảng 2.3.8.2</w:t>
      </w:r>
      <w:r>
        <w:t xml:space="preserve">.</w:t>
      </w:r>
      <w:r>
        <w:t xml:space="preserve"> </w:t>
      </w:r>
      <w:r>
        <w:rPr>
          <w:iCs/>
          <w:i/>
        </w:rPr>
        <w:t xml:space="preserve">Pattern giới tính trong lãnh đạo cấp cao và sở hữu doanh nghiệp theo khu vực.</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Khu vực</w:t>
            </w:r>
          </w:p>
        </w:tc>
        <w:tc>
          <w:tcPr/>
          <w:p>
            <w:pPr>
              <w:pStyle w:val="Compact"/>
              <w:jc w:val="left"/>
            </w:pPr>
            <w:r>
              <w:t xml:space="preserve">% nữ TMT</w:t>
            </w:r>
          </w:p>
        </w:tc>
        <w:tc>
          <w:tcPr/>
          <w:p>
            <w:pPr>
              <w:pStyle w:val="Compact"/>
              <w:jc w:val="left"/>
            </w:pPr>
            <w:r>
              <w:t xml:space="preserve">% nữ sở hữu đa số</w:t>
            </w:r>
          </w:p>
        </w:tc>
        <w:tc>
          <w:tcPr/>
          <w:p>
            <w:pPr>
              <w:pStyle w:val="Compact"/>
              <w:jc w:val="left"/>
            </w:pPr>
            <w:r>
              <w:t xml:space="preserve">Khoảng cách</w:t>
            </w:r>
          </w:p>
        </w:tc>
      </w:tr>
      <w:tr>
        <w:tc>
          <w:tcPr/>
          <w:p>
            <w:pPr>
              <w:pStyle w:val="Compact"/>
              <w:jc w:val="left"/>
            </w:pPr>
            <w:r>
              <w:rPr>
                <w:bCs/>
                <w:b/>
              </w:rPr>
              <w:t xml:space="preserve">East Asia &amp; Pacific (EAP)</w:t>
            </w:r>
          </w:p>
        </w:tc>
        <w:tc>
          <w:tcPr/>
          <w:p>
            <w:pPr>
              <w:pStyle w:val="Compact"/>
              <w:jc w:val="left"/>
            </w:pPr>
            <w:r>
              <w:rPr>
                <w:bCs/>
                <w:b/>
              </w:rPr>
              <w:t xml:space="preserve">33,4%</w:t>
            </w:r>
          </w:p>
        </w:tc>
        <w:tc>
          <w:tcPr/>
          <w:p>
            <w:pPr>
              <w:pStyle w:val="Compact"/>
              <w:jc w:val="left"/>
            </w:pPr>
            <w:r>
              <w:rPr>
                <w:bCs/>
                <w:b/>
              </w:rPr>
              <w:t xml:space="preserve">25,7%</w:t>
            </w:r>
          </w:p>
        </w:tc>
        <w:tc>
          <w:tcPr/>
          <w:p>
            <w:pPr>
              <w:pStyle w:val="Compact"/>
              <w:jc w:val="left"/>
            </w:pPr>
            <w:r>
              <w:t xml:space="preserve">+7,7 đpt</w:t>
            </w:r>
          </w:p>
        </w:tc>
      </w:tr>
      <w:tr>
        <w:tc>
          <w:tcPr/>
          <w:p>
            <w:pPr>
              <w:pStyle w:val="Compact"/>
              <w:jc w:val="left"/>
            </w:pPr>
            <w:r>
              <w:t xml:space="preserve">Latin America &amp; Caribbean</w:t>
            </w:r>
          </w:p>
        </w:tc>
        <w:tc>
          <w:tcPr/>
          <w:p>
            <w:pPr>
              <w:pStyle w:val="Compact"/>
              <w:jc w:val="left"/>
            </w:pPr>
            <w:r>
              <w:t xml:space="preserve">27,8%</w:t>
            </w:r>
          </w:p>
        </w:tc>
        <w:tc>
          <w:tcPr/>
          <w:p>
            <w:pPr>
              <w:pStyle w:val="Compact"/>
              <w:jc w:val="left"/>
            </w:pPr>
            <w:r>
              <w:t xml:space="preserve">18,3%</w:t>
            </w:r>
          </w:p>
        </w:tc>
        <w:tc>
          <w:tcPr/>
          <w:p>
            <w:pPr>
              <w:pStyle w:val="Compact"/>
              <w:jc w:val="left"/>
            </w:pPr>
            <w:r>
              <w:t xml:space="preserve">+9,5 đpt</w:t>
            </w:r>
          </w:p>
        </w:tc>
      </w:tr>
      <w:tr>
        <w:tc>
          <w:tcPr/>
          <w:p>
            <w:pPr>
              <w:pStyle w:val="Compact"/>
              <w:jc w:val="left"/>
            </w:pPr>
            <w:r>
              <w:t xml:space="preserve">Sub-Saharan Africa</w:t>
            </w:r>
          </w:p>
        </w:tc>
        <w:tc>
          <w:tcPr/>
          <w:p>
            <w:pPr>
              <w:pStyle w:val="Compact"/>
              <w:jc w:val="left"/>
            </w:pPr>
            <w:r>
              <w:t xml:space="preserve">21,3%</w:t>
            </w:r>
          </w:p>
        </w:tc>
        <w:tc>
          <w:tcPr/>
          <w:p>
            <w:pPr>
              <w:pStyle w:val="Compact"/>
              <w:jc w:val="left"/>
            </w:pPr>
            <w:r>
              <w:t xml:space="preserve">14,9%</w:t>
            </w:r>
          </w:p>
        </w:tc>
        <w:tc>
          <w:tcPr/>
          <w:p>
            <w:pPr>
              <w:pStyle w:val="Compact"/>
              <w:jc w:val="left"/>
            </w:pPr>
            <w:r>
              <w:t xml:space="preserve">+6,4 đpt</w:t>
            </w:r>
          </w:p>
        </w:tc>
      </w:tr>
      <w:tr>
        <w:tc>
          <w:tcPr/>
          <w:p>
            <w:pPr>
              <w:pStyle w:val="Compact"/>
              <w:jc w:val="left"/>
            </w:pPr>
            <w:r>
              <w:t xml:space="preserve">Europe &amp; Central Asia</w:t>
            </w:r>
          </w:p>
        </w:tc>
        <w:tc>
          <w:tcPr/>
          <w:p>
            <w:pPr>
              <w:pStyle w:val="Compact"/>
              <w:jc w:val="left"/>
            </w:pPr>
            <w:r>
              <w:t xml:space="preserve">19,8%</w:t>
            </w:r>
          </w:p>
        </w:tc>
        <w:tc>
          <w:tcPr/>
          <w:p>
            <w:pPr>
              <w:pStyle w:val="Compact"/>
              <w:jc w:val="left"/>
            </w:pPr>
            <w:r>
              <w:t xml:space="preserve">12,1%</w:t>
            </w:r>
          </w:p>
        </w:tc>
        <w:tc>
          <w:tcPr/>
          <w:p>
            <w:pPr>
              <w:pStyle w:val="Compact"/>
              <w:jc w:val="left"/>
            </w:pPr>
            <w:r>
              <w:t xml:space="preserve">+7,7 đpt</w:t>
            </w:r>
          </w:p>
        </w:tc>
      </w:tr>
      <w:tr>
        <w:tc>
          <w:tcPr/>
          <w:p>
            <w:pPr>
              <w:pStyle w:val="Compact"/>
              <w:jc w:val="left"/>
            </w:pPr>
            <w:r>
              <w:t xml:space="preserve">South Asia</w:t>
            </w:r>
          </w:p>
        </w:tc>
        <w:tc>
          <w:tcPr/>
          <w:p>
            <w:pPr>
              <w:pStyle w:val="Compact"/>
              <w:jc w:val="left"/>
            </w:pPr>
            <w:r>
              <w:t xml:space="preserve">9,2%</w:t>
            </w:r>
          </w:p>
        </w:tc>
        <w:tc>
          <w:tcPr/>
          <w:p>
            <w:pPr>
              <w:pStyle w:val="Compact"/>
              <w:jc w:val="left"/>
            </w:pPr>
            <w:r>
              <w:t xml:space="preserve">8,5%</w:t>
            </w:r>
          </w:p>
        </w:tc>
        <w:tc>
          <w:tcPr/>
          <w:p>
            <w:pPr>
              <w:pStyle w:val="Compact"/>
              <w:jc w:val="left"/>
            </w:pPr>
            <w:r>
              <w:t xml:space="preserve">+0,7 đpt</w:t>
            </w:r>
          </w:p>
        </w:tc>
      </w:tr>
      <w:tr>
        <w:tc>
          <w:tcPr/>
          <w:p>
            <w:pPr>
              <w:pStyle w:val="Compact"/>
              <w:jc w:val="left"/>
            </w:pPr>
            <w:r>
              <w:rPr>
                <w:bCs/>
                <w:b/>
              </w:rPr>
              <w:t xml:space="preserve">MENA</w:t>
            </w:r>
          </w:p>
        </w:tc>
        <w:tc>
          <w:tcPr/>
          <w:p>
            <w:pPr>
              <w:pStyle w:val="Compact"/>
              <w:jc w:val="left"/>
            </w:pPr>
            <w:r>
              <w:rPr>
                <w:bCs/>
                <w:b/>
              </w:rPr>
              <w:t xml:space="preserve">3,3%</w:t>
            </w:r>
          </w:p>
        </w:tc>
        <w:tc>
          <w:tcPr/>
          <w:p>
            <w:pPr>
              <w:pStyle w:val="Compact"/>
              <w:jc w:val="left"/>
            </w:pPr>
            <w:r>
              <w:rPr>
                <w:bCs/>
                <w:b/>
              </w:rPr>
              <w:t xml:space="preserve">1,7%</w:t>
            </w:r>
          </w:p>
        </w:tc>
        <w:tc>
          <w:tcPr/>
          <w:p>
            <w:pPr>
              <w:pStyle w:val="Compact"/>
              <w:jc w:val="left"/>
            </w:pPr>
            <w:r>
              <w:t xml:space="preserve">+1,6 đpt</w:t>
            </w:r>
          </w:p>
        </w:tc>
      </w:tr>
    </w:tbl>
    <w:p>
      <w:pPr>
        <w:pStyle w:val="BodyText"/>
      </w:pPr>
      <w:r>
        <w:t xml:space="preserve">Bốn quan sát: (a) EAP paradox, quản lý dẫn đầu toàn cầu nhưng ownership ceiling thấp hơn management ceiling 7,7 điểm; (b) MENA bottleneck, rào cản thể chế kép trong bối cảnh nhà nước tô (Beblawi, 1987); (c) 43/50 nền kinh tế có tỷ lệ nữ trong nhóm quản trị cấp cao cao hơn nữ sở hữu đa số; (d) hàm ý cho Chuyên đề 2: tương tác giới tính × FSTS dương tại Emerging qua kênh quan hệ (Hambrick &amp; Mason, 1984) nhưng không có ý nghĩa thống kê tại Advanced.</w:t>
      </w:r>
    </w:p>
    <w:bookmarkEnd w:id="68"/>
    <w:bookmarkStart w:id="69" w:name="X722b5d08b43e844213bbd3d2ce6ee0ceb749773"/>
    <w:p>
      <w:pPr>
        <w:pStyle w:val="Heading4"/>
      </w:pPr>
      <w:r>
        <w:t xml:space="preserve">2.3.8.3 Đường cong U của đổi mới số, từ chi phí đầu tư đến phần bù năng suất</w:t>
      </w:r>
    </w:p>
    <w:p>
      <w:pPr>
        <w:pStyle w:val="FirstParagraph"/>
      </w:pPr>
      <w:r>
        <w:t xml:space="preserve">Quan hệ giữa cường độ đầu tư số và năng suất có hình dạng phi tuyến,</w:t>
      </w:r>
      <w:r>
        <w:t xml:space="preserve"> </w:t>
      </w:r>
      <w:r>
        <w:rPr>
          <w:bCs/>
          <w:b/>
        </w:rPr>
        <w:t xml:space="preserve">đường cong U theo thời gian</w:t>
      </w:r>
      <w:r>
        <w:t xml:space="preserve">, phù hợp với trễ công nghệ của David (1990) và nghịch lý năng suất của Brynjolfsson &amp; McAfee (2014).</w:t>
      </w:r>
    </w:p>
    <w:p>
      <w:pPr>
        <w:pStyle w:val="BodyText"/>
      </w:pPr>
      <w:r>
        <w:rPr>
          <w:bCs/>
          <w:b/>
        </w:rPr>
        <w:t xml:space="preserve">Giai đoạn 1</w:t>
      </w:r>
      <w:r>
        <w:t xml:space="preserve"> </w:t>
      </w:r>
      <w:r>
        <w:t xml:space="preserve">(năm 1-3): Sụt giảm ngắn hạn do chi phí thiết bị, đào tạo và gián đoạn quy trình. Bằng chứng: DAI = −0,129 tại Advanced, giai đoạn</w:t>
      </w:r>
      <w:r>
        <w:t xml:space="preserve"> </w:t>
      </w:r>
      <w:r>
        <w:t xml:space="preserve">“</w:t>
      </w:r>
      <w:r>
        <w:t xml:space="preserve">sân khấu số</w:t>
      </w:r>
      <w:r>
        <w:t xml:space="preserve">”</w:t>
      </w:r>
      <w:r>
        <w:t xml:space="preserve"> </w:t>
      </w:r>
      <w:r>
        <w:t xml:space="preserve">(Verhoef et al., 2021).</w:t>
      </w:r>
    </w:p>
    <w:p>
      <w:pPr>
        <w:pStyle w:val="BodyText"/>
      </w:pPr>
      <w:r>
        <w:rPr>
          <w:bCs/>
          <w:b/>
        </w:rPr>
        <w:t xml:space="preserve">Giai đoạn 2</w:t>
      </w:r>
      <w:r>
        <w:t xml:space="preserve"> </w:t>
      </w:r>
      <w:r>
        <w:t xml:space="preserve">(năm 3-5): Vùng chuyển tiếp. Ngưỡng:</w:t>
      </w:r>
      <w:r>
        <w:t xml:space="preserve"> </w:t>
      </w:r>
      <m:oMath>
        <m:r>
          <m:rPr>
            <m:sty m:val="p"/>
          </m:rPr>
          <m:t>≥</m:t>
        </m:r>
      </m:oMath>
      <w:r>
        <w:t xml:space="preserve"> </w:t>
      </w:r>
      <w:r>
        <w:t xml:space="preserve">3% doanh thu/năm ×</w:t>
      </w:r>
      <w:r>
        <w:t xml:space="preserve"> </w:t>
      </w:r>
      <m:oMath>
        <m:r>
          <m:rPr>
            <m:sty m:val="p"/>
          </m:rPr>
          <m:t>≥</m:t>
        </m:r>
      </m:oMath>
      <w:r>
        <w:t xml:space="preserve"> </w:t>
      </w:r>
      <w:r>
        <w:t xml:space="preserve">3 năm liên tục. Dưới ngưỡng, phần bù năng suất không bù được chi phí cơ hội.</w:t>
      </w:r>
    </w:p>
    <w:p>
      <w:pPr>
        <w:pStyle w:val="BodyText"/>
      </w:pPr>
      <w:r>
        <w:rPr>
          <w:bCs/>
          <w:b/>
        </w:rPr>
        <w:t xml:space="preserve">Giai đoạn 3</w:t>
      </w:r>
      <w:r>
        <w:t xml:space="preserve"> </w:t>
      </w:r>
      <w:r>
        <w:t xml:space="preserve">(năm 5+): Phần bù năng suất. Bằng chứng: Trung Quốc R&amp;D 39,4% (Tier-2 mature);</w:t>
      </w:r>
      <w:r>
        <w:t xml:space="preserve"> </w:t>
      </w:r>
      <m:oMath>
        <m:sSup>
          <m:e>
            <m:r>
              <m:rPr>
                <m:nor/>
                <m:sty m:val="p"/>
              </m:rPr>
              <m:t>FSTS</m:t>
            </m:r>
          </m:e>
          <m:sup>
            <m:r>
              <m:t>2</m:t>
            </m:r>
          </m:sup>
        </m:sSup>
      </m:oMath>
      <w:r>
        <w:t xml:space="preserve">×DAI = +3,119 (p = 0,005) tại Singapore, DAI khuếch đại quan hệ quốc tế hóa - hiệu quả tại doanh nghiệp FSTS cao.</w:t>
      </w:r>
    </w:p>
    <w:p>
      <w:pPr>
        <w:pStyle w:val="BodyText"/>
      </w:pPr>
      <w:r>
        <w:rPr>
          <w:bCs/>
          <w:b/>
        </w:rPr>
        <w:t xml:space="preserve">Liên kết CDCM</w:t>
      </w:r>
      <w:r>
        <w:t xml:space="preserve">: Giai đoạn 1 = proxy cơ chế lỗi thời (DAI Tier-1 bão hòa); Giai đoạn 3 = cơ chế phụ thuộc giai đoạn (DAI Tier-2 có phần bù có điều kiện). Hai cơ chế bổ sung nhau khi kiểm soát thế hệ số.</w:t>
      </w:r>
    </w:p>
    <w:p>
      <w:r>
        <w:pict>
          <v:rect style="width:0;height:1.5pt" o:hralign="center" o:hrstd="t" o:hr="t"/>
        </w:pict>
      </w:r>
    </w:p>
    <w:bookmarkEnd w:id="69"/>
    <w:bookmarkEnd w:id="70"/>
    <w:bookmarkStart w:id="75" w:name="thảo-luận-tổng-hợp"/>
    <w:p>
      <w:pPr>
        <w:pStyle w:val="Heading3"/>
      </w:pPr>
      <w:r>
        <w:t xml:space="preserve">2.3.9 Thảo luận tổng hợp</w:t>
      </w:r>
    </w:p>
    <w:bookmarkStart w:id="71" w:name="mười-kết-luận-tổng-hợp-từ-dữ-liệu-wbes"/>
    <w:p>
      <w:pPr>
        <w:pStyle w:val="Heading4"/>
      </w:pPr>
      <w:r>
        <w:t xml:space="preserve">2.3.9.1 Mười kết luận tổng hợp từ dữ liệu WBES</w:t>
      </w:r>
    </w:p>
    <w:p>
      <w:pPr>
        <w:pStyle w:val="FirstParagraph"/>
      </w:pPr>
      <w:r>
        <w:rPr>
          <w:bCs/>
          <w:b/>
        </w:rPr>
        <w:t xml:space="preserve">(i) Phân tán năng suất nội bộ tăng đơn điệu</w:t>
      </w:r>
      <w:r>
        <w:t xml:space="preserve">: Advanced 0,86, Upper-middle 1,29</w:t>
      </w:r>
      <w:r>
        <w:t xml:space="preserve"> </w:t>
      </w:r>
      <m:oMath>
        <m:r>
          <m:rPr>
            <m:sty m:val="p"/>
          </m:rPr>
          <m:t>≈</m:t>
        </m:r>
      </m:oMath>
      <w:r>
        <w:t xml:space="preserve"> </w:t>
      </w:r>
      <w:r>
        <w:t xml:space="preserve">Emerging 1,24</w:t>
      </w:r>
      <w:r>
        <w:t xml:space="preserve"> </w:t>
      </w:r>
      <m:oMath>
        <m:r>
          <m:rPr>
            <m:sty m:val="p"/>
          </m:rPr>
          <m:t>≈</m:t>
        </m:r>
      </m:oMath>
      <w:r>
        <w:t xml:space="preserve"> </w:t>
      </w:r>
      <w:r>
        <w:t xml:space="preserve">SIDS 1,32, Frontier 1,36. Tỷ số P90/P10 leo từ 10,8 lần lên 39,6 lần. Khẳng định</w:t>
      </w:r>
      <w:r>
        <w:t xml:space="preserve"> </w:t>
      </w:r>
      <w:r>
        <w:rPr>
          <w:bCs/>
          <w:b/>
        </w:rPr>
        <w:t xml:space="preserve">giả thuyết phân bổ sai nguồn lực</w:t>
      </w:r>
      <w:r>
        <w:t xml:space="preserve"> </w:t>
      </w:r>
      <w:r>
        <w:t xml:space="preserve">(Hsieh &amp; Klenow, 2009, 2014).</w:t>
      </w:r>
    </w:p>
    <w:p>
      <w:pPr>
        <w:pStyle w:val="BodyText"/>
      </w:pPr>
      <w:r>
        <w:rPr>
          <w:bCs/>
          <w:b/>
        </w:rPr>
        <w:t xml:space="preserve">(ii) Dị biệt nội bộ phân nhóm Advanced</w:t>
      </w:r>
      <w:r>
        <w:t xml:space="preserve">: Tỷ số phân tán Singapore (1,03) so với Vùng Vịnh (0,49)</w:t>
      </w:r>
      <w:r>
        <w:t xml:space="preserve"> </w:t>
      </w:r>
      <m:oMath>
        <m:r>
          <m:rPr>
            <m:sty m:val="p"/>
          </m:rPr>
          <m:t>≈</m:t>
        </m:r>
      </m:oMath>
      <w:r>
        <w:t xml:space="preserve"> </w:t>
      </w:r>
      <w:r>
        <w:rPr>
          <w:bCs/>
          <w:b/>
        </w:rPr>
        <w:t xml:space="preserve">2,1 lần</w:t>
      </w:r>
      <w:r>
        <w:t xml:space="preserve">, cần phân nhóm con Advanced trong Chuyên đề 2.</w:t>
      </w:r>
    </w:p>
    <w:p>
      <w:pPr>
        <w:pStyle w:val="BodyText"/>
      </w:pPr>
      <w:r>
        <w:rPr>
          <w:bCs/>
          <w:b/>
        </w:rPr>
        <w:t xml:space="preserve">(iii) Dị biệt nội bộ phân nhóm Emerging, 3 phân nhóm con</w:t>
      </w:r>
      <w:r>
        <w:t xml:space="preserve">: FDI dẫn dắt SEA (VNM+IDN+PHL, FSTS 13,2%)</w:t>
      </w:r>
      <w:r>
        <w:t xml:space="preserve"> </w:t>
      </w:r>
      <m:oMath>
        <m:r>
          <m:rPr>
            <m:sty m:val="p"/>
          </m:rPr>
          <m:t>≠</m:t>
        </m:r>
      </m:oMath>
      <w:r>
        <w:t xml:space="preserve"> </w:t>
      </w:r>
      <w:r>
        <w:t xml:space="preserve">dân số lớn (IND+LKA+JOR, FSTS 7,2%)</w:t>
      </w:r>
      <w:r>
        <w:t xml:space="preserve"> </w:t>
      </w:r>
      <m:oMath>
        <m:r>
          <m:rPr>
            <m:sty m:val="p"/>
          </m:rPr>
          <m:t>≠</m:t>
        </m:r>
      </m:oMath>
      <w:r>
        <w:t xml:space="preserve"> </w:t>
      </w:r>
      <w:r>
        <w:t xml:space="preserve">tài nguyên (MNG, FSTS 5,0%).</w:t>
      </w:r>
    </w:p>
    <w:p>
      <w:pPr>
        <w:pStyle w:val="BodyText"/>
      </w:pPr>
      <w:r>
        <w:rPr>
          <w:bCs/>
          <w:b/>
        </w:rPr>
        <w:t xml:space="preserve">(iv) SIDS Pacific, Kiribati 2025 là trường hợp biên cực đoan nhất</w:t>
      </w:r>
      <w:r>
        <w:t xml:space="preserve">: FSTS 1,03%, FDI 0,7%, website 18,7%, ISO 1,3%, đối lập với Fiji nhảy vọt số (74,8%). Cơ sở cho giả thuyết chi phí buộc phải quốc tế hóa.</w:t>
      </w:r>
    </w:p>
    <w:p>
      <w:pPr>
        <w:pStyle w:val="BodyText"/>
      </w:pPr>
      <w:r>
        <w:rPr>
          <w:bCs/>
          <w:b/>
        </w:rPr>
        <w:t xml:space="preserve">(v) Quốc tế hóa là hiện tượng phân cực</w:t>
      </w:r>
      <w:r>
        <w:t xml:space="preserve">: trung vị FSTS = 0%; chỉ 15-23% doanh nghiệp xuất khẩu. Cần lựa chọn hai giai đoạn trong Chuyên đề 2.</w:t>
      </w:r>
    </w:p>
    <w:p>
      <w:pPr>
        <w:pStyle w:val="BodyText"/>
      </w:pPr>
      <w:r>
        <w:rPr>
          <w:bCs/>
          <w:b/>
        </w:rPr>
        <w:t xml:space="preserve">(vi) Nhảy vọt số 2018-2025</w:t>
      </w:r>
      <w:r>
        <w:t xml:space="preserve"> </w:t>
      </w:r>
      <w:r>
        <w:t xml:space="preserve">ở Frontier/Emerging/SIDS (+20-43 điểm phần trăm website). Phân biệt</w:t>
      </w:r>
      <w:r>
        <w:t xml:space="preserve"> </w:t>
      </w:r>
      <w:r>
        <w:rPr>
          <w:bCs/>
          <w:b/>
        </w:rPr>
        <w:t xml:space="preserve">Tier-1 Sự hiện diện số cơ bản</w:t>
      </w:r>
      <w:r>
        <w:t xml:space="preserve"> </w:t>
      </w:r>
      <w:r>
        <w:t xml:space="preserve">(đã bão hòa ở Advanced) và</w:t>
      </w:r>
      <w:r>
        <w:t xml:space="preserve"> </w:t>
      </w:r>
      <w:r>
        <w:rPr>
          <w:bCs/>
          <w:b/>
        </w:rPr>
        <w:t xml:space="preserve">Tier-2 Chuyển đổi số cơ bản</w:t>
      </w:r>
      <w:r>
        <w:t xml:space="preserve"> </w:t>
      </w:r>
      <w:r>
        <w:t xml:space="preserve">(đang phát triển). Hệ số âm DAI Advanced (-0,129) là tạo phẩm bão hòa Tier-1, xem kiểm định loại trừ ICT tại Mục 2.3.4.3.</w:t>
      </w:r>
    </w:p>
    <w:p>
      <w:pPr>
        <w:pStyle w:val="BodyText"/>
      </w:pPr>
      <w:r>
        <w:rPr>
          <w:bCs/>
          <w:b/>
        </w:rPr>
        <w:t xml:space="preserve">(vii) Pattern phi tuyến FDI $</w:t>
      </w:r>
      <w:r>
        <w:rPr>
          <w:bCs/>
          <w:b/>
        </w:rPr>
        <w:t xml:space="preserve">$10%</w:t>
      </w:r>
      <w:r>
        <w:t xml:space="preserve">, dạng chữ U với cực tiểu Emerging (4,7%): Advanced 11,1%, Emerging 4,7%, SIDS 23,5%. Hai mô hình FDI: MNE hub (Advanced) và du lịch/viễn thông (SIDS).</w:t>
      </w:r>
    </w:p>
    <w:p>
      <w:pPr>
        <w:pStyle w:val="BodyText"/>
      </w:pPr>
      <w:r>
        <w:rPr>
          <w:bCs/>
          <w:b/>
        </w:rPr>
        <w:t xml:space="preserve">(viii) Đợt khảo sát 2025, mẫu đơn năm lớn nhất</w:t>
      </w:r>
      <w:r>
        <w:t xml:space="preserve">: 14 nước × 17.053 doanh nghiệp (bao gồm Nepal 2025 BREADY Micro n=1.740). Ấn Độ FSTS sụt 5 điểm phần trăm (hiệu ứng schema); Fiji website 74,8% &gt; Singapore 66,1%; Kiribati đối lập cực đoan với Fiji; Nepal Micro: 10% bán quốc tế, sd log LP = 1,15.</w:t>
      </w:r>
    </w:p>
    <w:p>
      <w:pPr>
        <w:pStyle w:val="BodyText"/>
      </w:pPr>
      <w:r>
        <w:rPr>
          <w:bCs/>
          <w:b/>
        </w:rPr>
        <w:t xml:space="preserve">(ix) Khung phân tích cấp ngành</w:t>
      </w:r>
      <w:r>
        <w:t xml:space="preserve">: 9 ngành ISIC Rev. 4; kiểm định loại trừ ICT; bổ sung Dynamism profile theo Kafouros et al. (2023).</w:t>
      </w:r>
    </w:p>
    <w:p>
      <w:pPr>
        <w:pStyle w:val="BodyText"/>
      </w:pPr>
      <w:r>
        <w:rPr>
          <w:bCs/>
          <w:b/>
        </w:rPr>
        <w:t xml:space="preserve">(x) Hệ thống tái tạo được cho 4 thế hệ schema WBES</w:t>
      </w:r>
      <w:r>
        <w:t xml:space="preserve">: Tất cả bảng và hình đều tái tạo được. Gói tái lập mở cho cộng đồng nghiên cứu.</w:t>
      </w:r>
    </w:p>
    <w:bookmarkEnd w:id="71"/>
    <w:bookmarkStart w:id="72" w:name="năm-khoảng-trống-nghiên-cứu"/>
    <w:p>
      <w:pPr>
        <w:pStyle w:val="Heading4"/>
      </w:pPr>
      <w:r>
        <w:t xml:space="preserve">2.3.9.2 Năm khoảng trống nghiên cứu</w:t>
      </w:r>
    </w:p>
    <w:p>
      <w:pPr>
        <w:pStyle w:val="FirstParagraph"/>
      </w:pPr>
      <w:r>
        <w:rPr>
          <w:bCs/>
          <w:b/>
        </w:rPr>
        <w:t xml:space="preserve">KT1, Điều tiết ba chiều TCI×DAI×FSTS chưa được kiểm định đồng thời trên mẫu liên quốc gia</w:t>
      </w:r>
      <w:r>
        <w:t xml:space="preserve">: Các nghiên cứu hiện tại kiểm định từng cặp điều tiết riêng biệt. Mô hình M7 của Chuyên đề 2 sẽ lấp khoảng trống này với 108 cặp quốc gia-năm.</w:t>
      </w:r>
    </w:p>
    <w:p>
      <w:pPr>
        <w:pStyle w:val="BodyText"/>
      </w:pPr>
      <w:r>
        <w:rPr>
          <w:bCs/>
          <w:b/>
        </w:rPr>
        <w:t xml:space="preserve">KT2, Phân nhóm con Advanced: innovation-driven so với resource-driven chưa được hệ thống hóa</w:t>
      </w:r>
      <w:r>
        <w:t xml:space="preserve">: Nghiên cứu hiện hành (Bausch &amp; Krist, 2007; Kirca et al., 2012) gộp tất cả OECD vào</w:t>
      </w:r>
      <w:r>
        <w:t xml:space="preserve"> </w:t>
      </w:r>
      <w:r>
        <w:t xml:space="preserve">“</w:t>
      </w:r>
      <w:r>
        <w:t xml:space="preserve">phát triển</w:t>
      </w:r>
      <w:r>
        <w:t xml:space="preserve">”</w:t>
      </w:r>
      <w:r>
        <w:t xml:space="preserve">. Bằng chứng Singapore so với Saudi Arabia/Qatar/Kuwait cho thấy hai phân nhóm có pattern hoàn toàn khác nhau.</w:t>
      </w:r>
    </w:p>
    <w:p>
      <w:pPr>
        <w:pStyle w:val="BodyText"/>
      </w:pPr>
      <w:r>
        <w:rPr>
          <w:bCs/>
          <w:b/>
        </w:rPr>
        <w:t xml:space="preserve">KT3, Xác nhận nhân quả Nghịch lý bão hòa số qua ước lượng biến công cụ</w:t>
      </w:r>
      <w:r>
        <w:t xml:space="preserve">: Hệ số DAI âm (−0,129) có thể phản ánh: (a) bão hòa thực sự; (b) nhân quả ngược; (c) bias biến bỏ sót. Biến công cụ hợp lệ (độ phủ băng thông rộng) cần thiết để phân biệt.</w:t>
      </w:r>
    </w:p>
    <w:p>
      <w:pPr>
        <w:pStyle w:val="BodyText"/>
      </w:pPr>
      <w:r>
        <w:rPr>
          <w:bCs/>
          <w:b/>
        </w:rPr>
        <w:t xml:space="preserve">KT4, Dị biệt theo thời gian ba giai đoạn 2009-2025 chưa được tổng hợp</w:t>
      </w:r>
      <w:r>
        <w:t xml:space="preserve">: Bằng chứng từ kiểm định Paternoster cho thấy bất ổn định tham số quan trọng giữa ba giai đoạn.</w:t>
      </w:r>
    </w:p>
    <w:p>
      <w:pPr>
        <w:pStyle w:val="BodyText"/>
      </w:pPr>
      <w:r>
        <w:rPr>
          <w:bCs/>
          <w:b/>
        </w:rPr>
        <w:t xml:space="preserve">KT5, SIDS Pacific như trường hợp biên lý thuyết của thuyết Uppsala</w:t>
      </w:r>
      <w:r>
        <w:t xml:space="preserve">: Chi phí buộc phải quốc tế hóa tại 7 SIDS không khớp với bất kỳ dạng hàm quốc tế hóa - hiệu quả nào trong các nghiên cứu. Cần khung kết hợp MIRAB và Briguglio (1995) và quan điểm dựa trên nguồn lực.</w:t>
      </w:r>
    </w:p>
    <w:bookmarkEnd w:id="72"/>
    <w:bookmarkStart w:id="73" w:name="hàm-ý-lý-thuyết"/>
    <w:p>
      <w:pPr>
        <w:pStyle w:val="Heading4"/>
      </w:pPr>
      <w:r>
        <w:t xml:space="preserve">2.3.9.3 Hàm ý lý thuyết</w:t>
      </w:r>
    </w:p>
    <w:p>
      <w:pPr>
        <w:pStyle w:val="FirstParagraph"/>
      </w:pPr>
      <w:r>
        <w:rPr>
          <w:bCs/>
          <w:b/>
        </w:rPr>
        <w:t xml:space="preserve">(1) Uppsala có điều kiện, không phổ quát</w:t>
      </w:r>
      <w:r>
        <w:t xml:space="preserve">: FSTS dương tại Advanced, không có ý nghĩa tại Frontier xác nhận điều kiện biên: lý thuyết Uppsala vận hành chỉ trong môi trường thể chế đủ mạnh (Williamson, 1985).</w:t>
      </w:r>
    </w:p>
    <w:p>
      <w:pPr>
        <w:pStyle w:val="BodyText"/>
      </w:pPr>
      <w:r>
        <w:rPr>
          <w:bCs/>
          <w:b/>
        </w:rPr>
        <w:t xml:space="preserve">(2) CDCM như khung lý thuyết tích hợp mới cho kỷ nguyên số trong kinh doanh quốc tế</w:t>
      </w:r>
      <w:r>
        <w:t xml:space="preserve">: Phần bù năng suất của áp dụng số là hàm của (i) mức độ phát triển thể chế, (ii) vị trí trên đường cong quốc tế hóa - hiệu quả, (iii) tầng của năng lực số được đo lường. Ba điều kiện tương tác phi tuyến, vượt qua</w:t>
      </w:r>
      <w:r>
        <w:t xml:space="preserve"> </w:t>
      </w:r>
      <w:r>
        <w:t xml:space="preserve">“</w:t>
      </w:r>
      <w:r>
        <w:t xml:space="preserve">phần bù số</w:t>
      </w:r>
      <w:r>
        <w:t xml:space="preserve">”</w:t>
      </w:r>
      <w:r>
        <w:t xml:space="preserve"> </w:t>
      </w:r>
      <w:r>
        <w:t xml:space="preserve">đồng nhất (Verhoef et al., 2021).</w:t>
      </w:r>
    </w:p>
    <w:p>
      <w:pPr>
        <w:pStyle w:val="BodyText"/>
      </w:pPr>
      <w:r>
        <w:rPr>
          <w:bCs/>
          <w:b/>
        </w:rPr>
        <w:t xml:space="preserve">(3) Giao diện Đổi mới-Hiệu suất Nâng cao (AIPI)</w:t>
      </w:r>
      <w:r>
        <w:t xml:space="preserve">:</w:t>
      </w:r>
      <w:r>
        <w:t xml:space="preserve"> </w:t>
      </w:r>
      <m:oMath>
        <m:sSup>
          <m:e>
            <m:r>
              <m:rPr>
                <m:nor/>
                <m:sty m:val="p"/>
              </m:rPr>
              <m:t>FSTS</m:t>
            </m:r>
          </m:e>
          <m:sup>
            <m:r>
              <m:t>2</m:t>
            </m:r>
          </m:sup>
        </m:sSup>
      </m:oMath>
      <w:r>
        <w:t xml:space="preserve">×DAI = +3,119 tại Singapore gợi ý cơ chế mới, tại FSTS cao, doanh nghiệp cần DAI như</w:t>
      </w:r>
      <w:r>
        <w:t xml:space="preserve"> </w:t>
      </w:r>
      <w:r>
        <w:t xml:space="preserve">“</w:t>
      </w:r>
      <w:r>
        <w:t xml:space="preserve">phối hợp kỹ thuật số xuyên biên giới</w:t>
      </w:r>
      <w:r>
        <w:t xml:space="preserve">”</w:t>
      </w:r>
      <w:r>
        <w:t xml:space="preserve"> </w:t>
      </w:r>
      <w:r>
        <w:t xml:space="preserve">để quản lý độ phức tạp chuỗi giá trị toàn cầu. Cần kiểm định tại Advanced khác (Hàn Quốc, Đài Loan).</w:t>
      </w:r>
    </w:p>
    <w:p>
      <w:pPr>
        <w:pStyle w:val="BodyText"/>
      </w:pPr>
      <w:r>
        <w:rPr>
          <w:bCs/>
          <w:b/>
        </w:rPr>
        <w:t xml:space="preserve">(4) Sân khấu số là thực tế đo lường ở cả hai chiều</w:t>
      </w:r>
      <w:r>
        <w:t xml:space="preserve">: Tại Advanced, DAI Tier-1 là yếu tố vệ sinh bão hòa. Tại Emerging, DAI Tier-1 có thể là proxy lỗi thời, đo lường không còn phản ánh được cơ chế kinh tế thực.</w:t>
      </w:r>
    </w:p>
    <w:p>
      <w:pPr>
        <w:pStyle w:val="BodyText"/>
      </w:pPr>
      <w:r>
        <w:rPr>
          <w:bCs/>
          <w:b/>
        </w:rPr>
        <w:t xml:space="preserve">(5) Bối cảnh thể chế là tầng điều kiện, không phải yếu tố nền</w:t>
      </w:r>
      <w:r>
        <w:t xml:space="preserve">: Đảo dấu cross-regime không phải nhiễu mà là tín hiệu lý thuyết. Nghiên cứu kinh doanh quốc tế tương lai nên kiểm định hiệu ứng điều tiết theo nhóm ICRV trước khi báo cáo kích thước hiệu ứng trung bình.</w:t>
      </w:r>
    </w:p>
    <w:bookmarkEnd w:id="73"/>
    <w:bookmarkStart w:id="74" w:name="hàm-ý-phương-pháp-luận"/>
    <w:p>
      <w:pPr>
        <w:pStyle w:val="Heading4"/>
      </w:pPr>
      <w:r>
        <w:t xml:space="preserve">2.3.9.4 Hàm ý phương pháp luận</w:t>
      </w:r>
    </w:p>
    <w:p>
      <w:pPr>
        <w:pStyle w:val="FirstParagraph"/>
      </w:pPr>
      <w:r>
        <w:rPr>
          <w:bCs/>
          <w:b/>
        </w:rPr>
        <w:t xml:space="preserve">(1) Pool WBES xuyên quốc gia như nền tảng dữ liệu cho kinh doanh quốc tế thị trường mới nổi</w:t>
      </w:r>
      <w:r>
        <w:t xml:space="preserve">: 101.185 doanh nghiệp từ 47 nền kinh tế là mẫu lớn nhất từ trước đến nay cho phân tích quốc tế hóa - hiệu quả toàn diện tại châu Á-Thái Bình Dương.</w:t>
      </w:r>
    </w:p>
    <w:p>
      <w:pPr>
        <w:pStyle w:val="BodyText"/>
      </w:pPr>
      <w:r>
        <w:rPr>
          <w:bCs/>
          <w:b/>
        </w:rPr>
        <w:t xml:space="preserve">(2) Hệ thống phòng thủ ba tầng cho panel đa thế hệ là đóng góp phương pháp luận</w:t>
      </w:r>
      <w:r>
        <w:t xml:space="preserve">: Ba tầng kiểm chứng, biến giả Post_BREADY_2024, kiểm định ổn định mô hình neo, panel hậu đại dịch độc lập, là giao thức có thể chuẩn hóa cho bất kỳ nghiên cứu dùng WBES với nhiều thế hệ schema.</w:t>
      </w:r>
    </w:p>
    <w:p>
      <w:pPr>
        <w:pStyle w:val="BodyText"/>
      </w:pPr>
      <w:r>
        <w:rPr>
          <w:bCs/>
          <w:b/>
        </w:rPr>
        <w:t xml:space="preserve">(3) Winsorize trong cụm quốc gia × năm tốt hơn winsorize tổng thể</w:t>
      </w:r>
      <w:r>
        <w:t xml:space="preserve">: Winsorize tổng thể bóp méo phân phối tại Frontier (độ lệch chuẩn log 2,18+). Winsorize trong cụm bảo tồn dị biệt cross-regime quan trọng về lý thuyết.</w:t>
      </w:r>
    </w:p>
    <w:p>
      <w:pPr>
        <w:pStyle w:val="BodyText"/>
      </w:pPr>
      <w:r>
        <w:rPr>
          <w:bCs/>
          <w:b/>
        </w:rPr>
        <w:t xml:space="preserve">(4) HC1 robust SE như chuẩn mực cho hồi quy đa quốc gia WBES</w:t>
      </w:r>
      <w:r>
        <w:t xml:space="preserve">: HC3 cần thiết cho mẫu con nhỏ (SIDS n &lt; 200). HC1 là cân bằng tốt giữa hiệu suất ước lượng và độ bền vững cho mẫu đầy đủ.</w:t>
      </w:r>
    </w:p>
    <w:p>
      <w:pPr>
        <w:pStyle w:val="BodyText"/>
      </w:pPr>
      <w:r>
        <w:rPr>
          <w:bCs/>
          <w:b/>
        </w:rPr>
        <w:t xml:space="preserve">(5) Chiến lược mô hình neo bảo vệ suy luận khi schema chuyển đổi</w:t>
      </w:r>
      <w:r>
        <w:t xml:space="preserve">: 6 biến bất biến cross-schema (ln_employees, FSTS, ISO, innovate_product, website, ln_LP) cho phép so sánh hệ số cấu trúc giữa PICS3 và BREADY.</w:t>
      </w:r>
    </w:p>
    <w:p>
      <w:r>
        <w:pict>
          <v:rect style="width:0;height:1.5pt" o:hralign="center" o:hrstd="t" o:hr="t"/>
        </w:pict>
      </w:r>
    </w:p>
    <w:bookmarkEnd w:id="74"/>
    <w:bookmarkEnd w:id="75"/>
    <w:bookmarkEnd w:id="76"/>
    <w:bookmarkStart w:id="81" w:name="kết-luận"/>
    <w:p>
      <w:pPr>
        <w:pStyle w:val="Heading2"/>
      </w:pPr>
      <w:r>
        <w:t xml:space="preserve">2.4 KẾT LUẬN</w:t>
      </w:r>
    </w:p>
    <w:bookmarkStart w:id="77" w:name="kết-luận-chính"/>
    <w:p>
      <w:pPr>
        <w:pStyle w:val="Heading3"/>
      </w:pPr>
      <w:r>
        <w:t xml:space="preserve">2.4.1 Kết luận chính</w:t>
      </w:r>
    </w:p>
    <w:p>
      <w:pPr>
        <w:pStyle w:val="FirstParagraph"/>
      </w:pPr>
      <w:r>
        <w:t xml:space="preserve">Tám kết luận từ 101.185 doanh nghiệp, 47 nền kinh tế, 108 cặp quốc gia-năm, 14 sóng WBES 2009-2025:</w:t>
      </w:r>
    </w:p>
    <w:p>
      <w:pPr>
        <w:pStyle w:val="BodyText"/>
      </w:pPr>
      <w:r>
        <w:rPr>
          <w:bCs/>
          <w:b/>
        </w:rPr>
        <w:t xml:space="preserve">KL1, Phi tuyến xuyên chế độ thể chế là quy luật</w:t>
      </w:r>
      <w:r>
        <w:t xml:space="preserve">: U ngược tại Emerging (Việt Nam điểm uốn 39-46%; Trung Quốc điểm uốn 47-49%); gần tuyến tính tại Advanced (Singapore điểm uốn 88,6%); chi phí buộc phải tại SIDS.</w:t>
      </w:r>
    </w:p>
    <w:p>
      <w:pPr>
        <w:pStyle w:val="BodyText"/>
      </w:pPr>
      <w:r>
        <w:rPr>
          <w:bCs/>
          <w:b/>
        </w:rPr>
        <w:t xml:space="preserve">KL2, TCI là dịch chuyển mức phổ quát, DAI là khuếch đại phụ thuộc bối cảnh</w:t>
      </w:r>
      <w:r>
        <w:t xml:space="preserve">: TCI dương ở mọi nhóm; DAI đổi dấu theo nhóm ICRV, đây là nội hàm cốt lõi của CDCM.</w:t>
      </w:r>
    </w:p>
    <w:p>
      <w:pPr>
        <w:pStyle w:val="BodyText"/>
      </w:pPr>
      <w:r>
        <w:rPr>
          <w:bCs/>
          <w:b/>
        </w:rPr>
        <w:t xml:space="preserve">KL3, Nghịch lý bão hòa số là cơ chế đo lường, không phải thất bại thị trường</w:t>
      </w:r>
      <w:r>
        <w:t xml:space="preserve">: DAI âm tại Advanced là tạo phẩm của đo lường Tier-1 trong bối cảnh Tier-2/3 đã được áp dụng.</w:t>
      </w:r>
    </w:p>
    <w:p>
      <w:pPr>
        <w:pStyle w:val="BodyText"/>
      </w:pPr>
      <w:r>
        <w:rPr>
          <w:bCs/>
          <w:b/>
        </w:rPr>
        <w:t xml:space="preserve">KL4, Thể chế là biến điều tiết, không phải biến trung gian</w:t>
      </w:r>
      <w:r>
        <w:t xml:space="preserve">: Gap de jure-de facto (Xu, 2024) giải thích đảo dấu FDI cross-regime. Chính sách nâng cao thể chế hiệu quả nhất khi song hành với nâng cấp TCI và DAI.</w:t>
      </w:r>
    </w:p>
    <w:p>
      <w:pPr>
        <w:pStyle w:val="BodyText"/>
      </w:pPr>
      <w:r>
        <w:rPr>
          <w:bCs/>
          <w:b/>
        </w:rPr>
        <w:t xml:space="preserve">KL5, Dị biệt theo thời gian ba giai đoạn là thực tế cấu trúc</w:t>
      </w:r>
      <w:r>
        <w:t xml:space="preserve">: Hiệu ứng DAI mạnh hơn trong BREADY (sau tăng tốc số hóa hậu COVID-19). Hệ thống phòng thủ ba tầng đảm bảo kết luận không bị nhiễu schema.</w:t>
      </w:r>
    </w:p>
    <w:p>
      <w:pPr>
        <w:pStyle w:val="BodyText"/>
      </w:pPr>
      <w:r>
        <w:rPr>
          <w:bCs/>
          <w:b/>
        </w:rPr>
        <w:t xml:space="preserve">KL6, EAP dẫn đầu toàn cầu về nữ quản lý cấp cao (33,4%) nhưng khoảng cách sở hữu dai dẳng</w:t>
      </w:r>
      <w:r>
        <w:t xml:space="preserve">: Trần kính ở lớp sở hữu chưa được phá vỡ dù management ceiling đang thu hẹp.</w:t>
      </w:r>
    </w:p>
    <w:p>
      <w:pPr>
        <w:pStyle w:val="BodyText"/>
      </w:pPr>
      <w:r>
        <w:rPr>
          <w:bCs/>
          <w:b/>
        </w:rPr>
        <w:t xml:space="preserve">KL7, SIDS Pacific là trường hợp biên lý thuyết với chi phí buộc phải quốc tế hóa</w:t>
      </w:r>
      <w:r>
        <w:t xml:space="preserve">: FDI (+0,222) là nguồn năng suất chủ đạo; FSTS âm. Mô hình MIRAB phù hợp hơn mô hình Uppsala.</w:t>
      </w:r>
    </w:p>
    <w:p>
      <w:pPr>
        <w:pStyle w:val="BodyText"/>
      </w:pPr>
      <w:r>
        <w:rPr>
          <w:bCs/>
          <w:b/>
        </w:rPr>
        <w:t xml:space="preserve">KL8, Phân nhóm con Advanced là cần thiết cho phân tích kinh doanh quốc tế châu Á</w:t>
      </w:r>
      <w:r>
        <w:t xml:space="preserve">: Singapore và Saudi Arabia/Qatar/Kuwait cùng nhãn</w:t>
      </w:r>
      <w:r>
        <w:t xml:space="preserve"> </w:t>
      </w:r>
      <w:r>
        <w:t xml:space="preserve">“</w:t>
      </w:r>
      <w:r>
        <w:t xml:space="preserve">Advanced</w:t>
      </w:r>
      <w:r>
        <w:t xml:space="preserve">”</w:t>
      </w:r>
      <w:r>
        <w:t xml:space="preserve"> </w:t>
      </w:r>
      <w:r>
        <w:t xml:space="preserve">nhưng pattern năng suất doanh nghiệp hoàn toàn khác nhau.</w:t>
      </w:r>
    </w:p>
    <w:bookmarkEnd w:id="77"/>
    <w:bookmarkStart w:id="80" w:name="hàm-ý-và-đề-xuất"/>
    <w:p>
      <w:pPr>
        <w:pStyle w:val="Heading3"/>
      </w:pPr>
      <w:r>
        <w:t xml:space="preserve">2.4.2 Hàm ý và đề xuất</w:t>
      </w:r>
    </w:p>
    <w:bookmarkStart w:id="78" w:name="Xb96aebe161983f7eb681db97895f4deb1f50458"/>
    <w:p>
      <w:pPr>
        <w:pStyle w:val="Heading4"/>
      </w:pPr>
      <w:r>
        <w:t xml:space="preserve">2.4.2.1 Hàm ý chính sách cho doanh nghiệp Việt Nam và khu vực châu Á</w:t>
      </w:r>
    </w:p>
    <w:p>
      <w:pPr>
        <w:pStyle w:val="FirstParagraph"/>
      </w:pPr>
      <w:r>
        <w:rPr>
          <w:bCs/>
          <w:b/>
        </w:rPr>
        <w:t xml:space="preserve">(1) Sequencing năng lực trước, nâng cấp TCI trước khi mở rộng FSTS</w:t>
      </w:r>
      <w:r>
        <w:t xml:space="preserve">: Hệ số TCI = 0,179 (nhân quả ước lượng biến công cụ, nghiên cứu Việt Nam) xác nhận: xuất khẩu chỉ tạo năng suất khi doanh nghiệp có năng lực công nghệ nền tảng. Chương trình hỗ trợ xuất khẩu cần song hành với nâng cấp TCI.</w:t>
      </w:r>
    </w:p>
    <w:p>
      <w:pPr>
        <w:pStyle w:val="BodyText"/>
      </w:pPr>
      <w:r>
        <w:rPr>
          <w:bCs/>
          <w:b/>
        </w:rPr>
        <w:t xml:space="preserve">(2) Ưu tiên Tier-2 số cho SME Việt Nam</w:t>
      </w:r>
      <w:r>
        <w:t xml:space="preserve">: Website 47% là điểm đầu vào; VietQR, TikTok Shop, Shopee Asia Pacific là Tier-1.5/Tier-2 thực tế hơn. Voucher AI Adoption (~50 triệu VND/doanh nghiệp) giúp vượt qua giai đoạn đầu tư ban đầu.</w:t>
      </w:r>
    </w:p>
    <w:p>
      <w:pPr>
        <w:pStyle w:val="BodyText"/>
      </w:pPr>
      <w:r>
        <w:rPr>
          <w:bCs/>
          <w:b/>
        </w:rPr>
        <w:t xml:space="preserve">(3) Phân biệt FDI chiến lược với FDI lắp ráp</w:t>
      </w:r>
      <w:r>
        <w:t xml:space="preserve">: FSTS suy giảm từ 23,2% xuống 16,1% phản ánh FDI lắp ráp tăng nhưng giá trị gia tăng nội địa thấp. Các chỉ tiêu cần theo dõi: tỷ lệ R&amp;D/doanh thu, tỷ lệ nhà cung cấp nội địa Tier-1, bằng sáng chế đồng nộp.</w:t>
      </w:r>
    </w:p>
    <w:p>
      <w:pPr>
        <w:pStyle w:val="BodyText"/>
      </w:pPr>
      <w:r>
        <w:rPr>
          <w:bCs/>
          <w:b/>
        </w:rPr>
        <w:t xml:space="preserve">(4) Tái định vị chuỗi giá trị toàn cầu: lắp ráp downstream sang thiết kế và R&amp;D mid-stream</w:t>
      </w:r>
      <w:r>
        <w:t xml:space="preserve">: Việt Nam ở điểm uốn (39-46%). Trung Quốc R&amp;D 39,4% và điểm uốn cao hơn (47-49%) cho thấy: Sự chênh lệch điểm uốn giữa Trung Quốc (TP ~47-49%, Nhóm III) và Việt Nam (TP ~39-46%, Nhóm IV) phản ánh gradient ICRV, không phải gradient TCI. TCI nâng mặt bằng năng suất ở mọi mức FSTS (hiệu ứng level-shift) nhưng không trực tiếp quyết định vị trí điểm uốn, phân biệt hai cơ chế này là quan trọng cho hàm ý chính sách.</w:t>
      </w:r>
    </w:p>
    <w:p>
      <w:pPr>
        <w:pStyle w:val="BodyText"/>
      </w:pPr>
      <w:r>
        <w:rPr>
          <w:bCs/>
          <w:b/>
        </w:rPr>
        <w:t xml:space="preserve">(5) Nền tảng học hỏi chính sách dựa trên ICRV cho ASEAN</w:t>
      </w:r>
      <w:r>
        <w:t xml:space="preserve">: Trao đổi thực hành tốt nhất giữa nền kinh tế cùng nhóm IV Emerging (Việt Nam, Indonesia, Philippines, Ấn Độ) thay vì học từ Singapore/Hàn Quốc (nhóm I, bối cảnh khác biệt quá lớn).</w:t>
      </w:r>
    </w:p>
    <w:p>
      <w:pPr>
        <w:pStyle w:val="BodyText"/>
      </w:pPr>
      <w:r>
        <w:rPr>
          <w:bCs/>
          <w:b/>
        </w:rPr>
        <w:t xml:space="preserve">(6) Chính sách số hóa phân cấp theo vùng và quy mô</w:t>
      </w:r>
      <w:r>
        <w:t xml:space="preserve">: Hiệu ứng DAI phụ thuộc bối cảnh, đầu tư website khác nhau tại TP.HCM (Tier-1.5) so với nông thôn đồng bằng sông Cửu Long (Tier-1 chưa bão hòa).</w:t>
      </w:r>
    </w:p>
    <w:p>
      <w:pPr>
        <w:pStyle w:val="BodyText"/>
      </w:pPr>
      <w:r>
        <w:rPr>
          <w:bCs/>
          <w:b/>
        </w:rPr>
        <w:t xml:space="preserve">(7) Hợp tác lao động di chuyển Pacific cho Việt Nam, bài học PLMS/RSE</w:t>
      </w:r>
      <w:r>
        <w:t xml:space="preserve">:</w:t>
      </w:r>
      <w:r>
        <w:t xml:space="preserve"> </w:t>
      </w:r>
      <w:r>
        <w:t xml:space="preserve">(a)</w:t>
      </w:r>
      <w:r>
        <w:t xml:space="preserve"> </w:t>
      </w:r>
      <w:r>
        <w:rPr>
          <w:bCs/>
          <w:b/>
        </w:rPr>
        <w:t xml:space="preserve">PLMS Úc</w:t>
      </w:r>
      <w:r>
        <w:t xml:space="preserve">: Học mô hình 30.000 lao động PICs/năm, hướng tới triển khai Vietnamese Skilled Worker Mobility Scheme (nông nghiệp công nghệ cao và chăm sóc người cao tuổi);</w:t>
      </w:r>
      <w:r>
        <w:t xml:space="preserve"> </w:t>
      </w:r>
      <w:r>
        <w:t xml:space="preserve">(b)</w:t>
      </w:r>
      <w:r>
        <w:t xml:space="preserve"> </w:t>
      </w:r>
      <w:r>
        <w:rPr>
          <w:bCs/>
          <w:b/>
        </w:rPr>
        <w:t xml:space="preserve">RSE New Zealand</w:t>
      </w:r>
      <w:r>
        <w:t xml:space="preserve">: Nuôi trồng thủy sản, cà phê, đào tạo kỹ năng điều hàng, tận dụng chuyên môn đặc thù Việt Nam;</w:t>
      </w:r>
      <w:r>
        <w:t xml:space="preserve"> </w:t>
      </w:r>
      <w:r>
        <w:t xml:space="preserve">(c)</w:t>
      </w:r>
      <w:r>
        <w:t xml:space="preserve"> </w:t>
      </w:r>
      <w:r>
        <w:rPr>
          <w:bCs/>
          <w:b/>
        </w:rPr>
        <w:t xml:space="preserve">Kênh remittance kỹ thuật số</w:t>
      </w:r>
      <w:r>
        <w:t xml:space="preserve">: Hợp tác Wise/MoMo giảm phí từ ~7% xuống &lt;3%;</w:t>
      </w:r>
      <w:r>
        <w:t xml:space="preserve"> </w:t>
      </w:r>
      <w:r>
        <w:t xml:space="preserve">(d)</w:t>
      </w:r>
      <w:r>
        <w:t xml:space="preserve"> </w:t>
      </w:r>
      <w:r>
        <w:rPr>
          <w:bCs/>
          <w:b/>
        </w:rPr>
        <w:t xml:space="preserve">Nâng cấp kỹ năng theo mô hình EPS Hàn Quốc</w:t>
      </w:r>
      <w:r>
        <w:t xml:space="preserve">: Đào tạo kỹ năng trước khi xuất khẩu lao động và kênh tái di cư.</w:t>
      </w:r>
    </w:p>
    <w:p>
      <w:pPr>
        <w:pStyle w:val="BodyText"/>
      </w:pPr>
      <w:r>
        <w:rPr>
          <w:bCs/>
          <w:b/>
        </w:rPr>
        <w:t xml:space="preserve">(8) Bốn lộ trình số hóa châu Á tham khảo cho SME Việt Nam</w:t>
      </w:r>
      <w:r>
        <w:t xml:space="preserve">:</w:t>
      </w:r>
      <w:r>
        <w:t xml:space="preserve"> </w:t>
      </w:r>
      <w:r>
        <w:t xml:space="preserve">(a) Singapore/Hàn Quốc AI full-stack (Tier-3), không phù hợp để sao chép trực tiếp;</w:t>
      </w:r>
      <w:r>
        <w:t xml:space="preserve"> </w:t>
      </w:r>
      <w:r>
        <w:t xml:space="preserve">(b) Nhật Bản 60% doanh nghiệp AI back-office (Tier-2),</w:t>
      </w:r>
      <w:r>
        <w:t xml:space="preserve"> </w:t>
      </w:r>
      <w:r>
        <w:rPr>
          <w:bCs/>
          <w:b/>
        </w:rPr>
        <w:t xml:space="preserve">mục tiêu thực tế 2026-2030</w:t>
      </w:r>
      <w:r>
        <w:t xml:space="preserve">;</w:t>
      </w:r>
      <w:r>
        <w:t xml:space="preserve"> </w:t>
      </w:r>
      <w:r>
        <w:t xml:space="preserve">(c) Trung Quốc sản xuất thông minh (Tier-2/3), học điểm tích cực, tránh rủi ro tập trung;</w:t>
      </w:r>
      <w:r>
        <w:t xml:space="preserve"> </w:t>
      </w:r>
      <w:r>
        <w:t xml:space="preserve">(d)</w:t>
      </w:r>
      <w:r>
        <w:t xml:space="preserve"> </w:t>
      </w:r>
      <w:r>
        <w:rPr>
          <w:bCs/>
          <w:b/>
        </w:rPr>
        <w:t xml:space="preserve">Mô hình ưu tiên Việt Nam Tier-1.5</w:t>
      </w:r>
      <w:r>
        <w:t xml:space="preserve">: VietQR (100% miễn phí), tiếp đến Thương mại xã hội, Xuyên biên giới Shopee/Amazon, và Cloud và AI cơ bản.</w:t>
      </w:r>
    </w:p>
    <w:bookmarkEnd w:id="78"/>
    <w:bookmarkStart w:id="79" w:name="định-hướng-cho-chuyên-đề-2"/>
    <w:p>
      <w:pPr>
        <w:pStyle w:val="Heading4"/>
      </w:pPr>
      <w:r>
        <w:t xml:space="preserve">2.4.2.2 Định hướng cho Chuyên đề 2</w:t>
      </w:r>
    </w:p>
    <w:p>
      <w:pPr>
        <w:pStyle w:val="FirstParagraph"/>
      </w:pPr>
      <w:r>
        <w:t xml:space="preserve">Tám kiểm định độ bền vững bắt buộc cho Chuyên đề 2:</w:t>
      </w:r>
    </w:p>
    <w:p>
      <w:pPr>
        <w:pStyle w:val="BodyText"/>
      </w:pPr>
      <w:r>
        <w:rPr>
          <w:bCs/>
          <w:b/>
        </w:rPr>
        <w:t xml:space="preserve">(1) Thay biến phụ thuộc</w:t>
      </w:r>
      <w:r>
        <w:t xml:space="preserve">: ln(LP) bằng ROS, tăng trưởng doanh thu, tăng trưởng việc làm. Kết quả chính cần bền vững</w:t>
      </w:r>
      <w:r>
        <w:t xml:space="preserve"> </w:t>
      </w:r>
      <m:oMath>
        <m:r>
          <m:rPr>
            <m:sty m:val="p"/>
          </m:rPr>
          <m:t>≥</m:t>
        </m:r>
      </m:oMath>
      <w:r>
        <w:t xml:space="preserve"> </w:t>
      </w:r>
      <w:r>
        <w:t xml:space="preserve">2/3 biến phụ thuộc.</w:t>
      </w:r>
    </w:p>
    <w:p>
      <w:pPr>
        <w:pStyle w:val="BodyText"/>
      </w:pPr>
      <w:r>
        <w:rPr>
          <w:bCs/>
          <w:b/>
        </w:rPr>
        <w:t xml:space="preserve">(2) Lọc mẫu</w:t>
      </w:r>
      <w:r>
        <w:t xml:space="preserve">: Loại micro firms (&lt; 5 lao động) và doanh nghiệp nhà nước. Kết quả cần bền vững trong SME tư nhân (n</w:t>
      </w:r>
      <w:r>
        <w:t xml:space="preserve"> </w:t>
      </w:r>
      <m:oMath>
        <m:r>
          <m:rPr>
            <m:sty m:val="p"/>
          </m:rPr>
          <m:t>≈</m:t>
        </m:r>
      </m:oMath>
      <w:r>
        <w:t xml:space="preserve"> </w:t>
      </w:r>
      <w:r>
        <w:t xml:space="preserve">80.000+).</w:t>
      </w:r>
    </w:p>
    <w:p>
      <w:pPr>
        <w:pStyle w:val="BodyText"/>
      </w:pPr>
      <w:r>
        <w:rPr>
          <w:bCs/>
          <w:b/>
        </w:rPr>
        <w:t xml:space="preserve">(3) Thay phương pháp</w:t>
      </w:r>
      <w:r>
        <w:t xml:space="preserve">: OLS bằng hồi quy phân vị (p25/p50/p75); bootstrap SE 500 lần lặp; HC3.</w:t>
      </w:r>
    </w:p>
    <w:p>
      <w:pPr>
        <w:pStyle w:val="BodyText"/>
      </w:pPr>
      <w:r>
        <w:rPr>
          <w:bCs/>
          <w:b/>
        </w:rPr>
        <w:t xml:space="preserve">(4) Kiểm định dạng hàm</w:t>
      </w:r>
      <w:r>
        <w:t xml:space="preserve">: LOWESS phi tham số; kiểm định Lind-Mehlum (2010) bắt buộc xác nhận U ngược; AIC/BIC so sánh tuyến tính so với bậc hai so với bậc ba.</w:t>
      </w:r>
    </w:p>
    <w:p>
      <w:pPr>
        <w:pStyle w:val="BodyText"/>
      </w:pPr>
      <w:r>
        <w:rPr>
          <w:bCs/>
          <w:b/>
        </w:rPr>
        <w:t xml:space="preserve">(5) Placebo tests</w:t>
      </w:r>
      <w:r>
        <w:t xml:space="preserve">: Thay FSTS + TCI bằng biến nhiễu. Kết quả chính không được có ý nghĩa thống kê.</w:t>
      </w:r>
    </w:p>
    <w:p>
      <w:pPr>
        <w:pStyle w:val="BodyText"/>
      </w:pPr>
      <w:r>
        <w:rPr>
          <w:bCs/>
          <w:b/>
        </w:rPr>
        <w:t xml:space="preserve">(6) Nhạy cảm cutoffs ICRV</w:t>
      </w:r>
      <w:r>
        <w:t xml:space="preserve">: $</w:t>
      </w:r>
      <w:r>
        <w:t xml:space="preserve">$0,1 đơn vị WGI; PPP GDP/capita thay GNI; jackknife loại từng quốc gia (47 lần).</w:t>
      </w:r>
    </w:p>
    <w:p>
      <w:pPr>
        <w:pStyle w:val="BodyText"/>
      </w:pPr>
      <w:r>
        <w:rPr>
          <w:bCs/>
          <w:b/>
        </w:rPr>
        <w:t xml:space="preserve">(7) Độ bền vững theo thời gian</w:t>
      </w:r>
      <w:r>
        <w:t xml:space="preserve">: Chow test ổn định tham số; Paternoster z-test so sánh điểm uốn giữa ba giai đoạn.</w:t>
      </w:r>
    </w:p>
    <w:p>
      <w:pPr>
        <w:pStyle w:val="BodyText"/>
      </w:pPr>
      <w:r>
        <w:rPr>
          <w:bCs/>
          <w:b/>
        </w:rPr>
        <w:t xml:space="preserve">(8) Kiểm định ranh giới schema</w:t>
      </w:r>
      <w:r>
        <w:t xml:space="preserve">: Hệ thống phòng thủ ba tầng tại Mục 2.2, điều kiện tiên quyết trước khi báo cáo BREADY 2025 như bằng chứng nhân quả.</w:t>
      </w:r>
    </w:p>
    <w:p>
      <w:r>
        <w:pict>
          <v:rect style="width:0;height:1.5pt" o:hralign="center" o:hrstd="t" o:hr="t"/>
        </w:pict>
      </w:r>
    </w:p>
    <w:bookmarkEnd w:id="79"/>
    <w:bookmarkEnd w:id="80"/>
    <w:bookmarkEnd w:id="81"/>
    <w:bookmarkStart w:id="82" w:name="tài-liệu-tham-khảo"/>
    <w:p>
      <w:pPr>
        <w:pStyle w:val="Heading2"/>
      </w:pPr>
      <w:r>
        <w:t xml:space="preserve">TÀI LIỆU THAM KHẢO</w:t>
      </w:r>
    </w:p>
    <w:p>
      <w:pPr>
        <w:pStyle w:val="FirstParagraph"/>
      </w:pPr>
      <w:r>
        <w:rPr>
          <w:iCs/>
          <w:i/>
        </w:rPr>
        <w:t xml:space="preserve">Trích dẫn theo APA 7th edition.</w:t>
      </w:r>
    </w:p>
    <w:p>
      <w:pPr>
        <w:pStyle w:val="BodyText"/>
      </w:pPr>
      <w:r>
        <w:t xml:space="preserve">ADB. (2024).</w:t>
      </w:r>
      <w:r>
        <w:t xml:space="preserve"> </w:t>
      </w:r>
      <w:r>
        <w:rPr>
          <w:iCs/>
          <w:i/>
        </w:rPr>
        <w:t xml:space="preserve">Asian development outlook 2024: Strengthening climate resilience</w:t>
      </w:r>
      <w:r>
        <w:t xml:space="preserve">. Asian Development Bank.</w:t>
      </w:r>
    </w:p>
    <w:p>
      <w:pPr>
        <w:pStyle w:val="BodyText"/>
      </w:pPr>
      <w:r>
        <w:t xml:space="preserve">ADB. (2026, tháng 4).</w:t>
      </w:r>
      <w:r>
        <w:t xml:space="preserve"> </w:t>
      </w:r>
      <w:r>
        <w:rPr>
          <w:iCs/>
          <w:i/>
        </w:rPr>
        <w:t xml:space="preserve">Asian development outlook April 2026: The Middle East conflict challenges resilience in Asia and the Pacific</w:t>
      </w:r>
      <w:r>
        <w:t xml:space="preserve">. Asian Development Bank.</w:t>
      </w:r>
    </w:p>
    <w:p>
      <w:pPr>
        <w:pStyle w:val="BodyText"/>
      </w:pPr>
      <w:r>
        <w:t xml:space="preserve">ADB. (2026).</w:t>
      </w:r>
      <w:r>
        <w:t xml:space="preserve"> </w:t>
      </w:r>
      <w:r>
        <w:rPr>
          <w:iCs/>
          <w:i/>
        </w:rPr>
        <w:t xml:space="preserve">Vietnam economic outlook 2026: Navigating the crosscurrents</w:t>
      </w:r>
      <w:r>
        <w:t xml:space="preserve">. Asian Development Bank.</w:t>
      </w:r>
    </w:p>
    <w:p>
      <w:pPr>
        <w:pStyle w:val="BodyText"/>
      </w:pPr>
      <w:r>
        <w:t xml:space="preserve">Banalieva, E. R., &amp; Dhanaraj, C. (2019). Internalization theory for the digital economy.</w:t>
      </w:r>
      <w:r>
        <w:t xml:space="preserve"> </w:t>
      </w:r>
      <w:r>
        <w:rPr>
          <w:iCs/>
          <w:i/>
        </w:rPr>
        <w:t xml:space="preserve">Journal of International Business Studies, 50</w:t>
      </w:r>
      <w:r>
        <w:t xml:space="preserve">(8), 1372-1387.</w:t>
      </w:r>
    </w:p>
    <w:p>
      <w:pPr>
        <w:pStyle w:val="BodyText"/>
      </w:pPr>
      <w:r>
        <w:t xml:space="preserve">Bausch, A., &amp; Krist, M. (2007). The effect of context-related moderators on the internationalization-performance relationship: Evidence from meta-analysis.</w:t>
      </w:r>
      <w:r>
        <w:t xml:space="preserve"> </w:t>
      </w:r>
      <w:r>
        <w:rPr>
          <w:iCs/>
          <w:i/>
        </w:rPr>
        <w:t xml:space="preserve">Management International Review, 47</w:t>
      </w:r>
      <w:r>
        <w:t xml:space="preserve">(3), 319-347.</w:t>
      </w:r>
    </w:p>
    <w:p>
      <w:pPr>
        <w:pStyle w:val="BodyText"/>
      </w:pPr>
      <w:r>
        <w:t xml:space="preserve">Beblawi, H. (1987). The rentier state in the Arab world. In H. Beblawi &amp; G. Luciani (Eds.),</w:t>
      </w:r>
      <w:r>
        <w:t xml:space="preserve"> </w:t>
      </w:r>
      <w:r>
        <w:rPr>
          <w:iCs/>
          <w:i/>
        </w:rPr>
        <w:t xml:space="preserve">The rentier state</w:t>
      </w:r>
      <w:r>
        <w:t xml:space="preserve"> </w:t>
      </w:r>
      <w:r>
        <w:t xml:space="preserve">(pp. 49-62). Croom Helm.</w:t>
      </w:r>
    </w:p>
    <w:p>
      <w:pPr>
        <w:pStyle w:val="BodyText"/>
      </w:pPr>
      <w:r>
        <w:t xml:space="preserve">Bertram, G. (2006). Introduction: The MIRAB model in the twenty-first century.</w:t>
      </w:r>
      <w:r>
        <w:t xml:space="preserve"> </w:t>
      </w:r>
      <w:r>
        <w:rPr>
          <w:iCs/>
          <w:i/>
        </w:rPr>
        <w:t xml:space="preserve">Asia Pacific Viewpoint, 47</w:t>
      </w:r>
      <w:r>
        <w:t xml:space="preserve">(1), 1-13.</w:t>
      </w:r>
    </w:p>
    <w:p>
      <w:pPr>
        <w:pStyle w:val="BodyText"/>
      </w:pPr>
      <w:r>
        <w:t xml:space="preserve">Briguglio, L. (1995). Small island developing states and their economic vulnerabilities.</w:t>
      </w:r>
      <w:r>
        <w:t xml:space="preserve"> </w:t>
      </w:r>
      <w:r>
        <w:rPr>
          <w:iCs/>
          <w:i/>
        </w:rPr>
        <w:t xml:space="preserve">World Development, 23</w:t>
      </w:r>
      <w:r>
        <w:t xml:space="preserve">(9), 1615-1632.</w:t>
      </w:r>
    </w:p>
    <w:p>
      <w:pPr>
        <w:pStyle w:val="BodyText"/>
      </w:pPr>
      <w:r>
        <w:t xml:space="preserve">Brynjolfsson, E., &amp; McAfee, A. (2014).</w:t>
      </w:r>
      <w:r>
        <w:t xml:space="preserve"> </w:t>
      </w:r>
      <w:r>
        <w:rPr>
          <w:iCs/>
          <w:i/>
        </w:rPr>
        <w:t xml:space="preserve">The second machine age: Work, progress, and prosperity in a time of brilliant technologies</w:t>
      </w:r>
      <w:r>
        <w:t xml:space="preserve">. W. W. Norton &amp; Company.</w:t>
      </w:r>
    </w:p>
    <w:p>
      <w:pPr>
        <w:pStyle w:val="BodyText"/>
      </w:pPr>
      <w:r>
        <w:t xml:space="preserve">Cohen, W. M., &amp; Levinthal, D. A. (1990). Absorptive capacity: A new perspective on learning and innovation.</w:t>
      </w:r>
      <w:r>
        <w:t xml:space="preserve"> </w:t>
      </w:r>
      <w:r>
        <w:rPr>
          <w:iCs/>
          <w:i/>
        </w:rPr>
        <w:t xml:space="preserve">Administrative Science Quarterly, 35</w:t>
      </w:r>
      <w:r>
        <w:t xml:space="preserve">(1), 128-152.</w:t>
      </w:r>
    </w:p>
    <w:p>
      <w:pPr>
        <w:pStyle w:val="BodyText"/>
      </w:pPr>
      <w:r>
        <w:t xml:space="preserve">Contractor, F. J., Kundu, S. K., &amp; Hsu, C. C. (2003). A three-stage theory of international expansion.</w:t>
      </w:r>
      <w:r>
        <w:t xml:space="preserve"> </w:t>
      </w:r>
      <w:r>
        <w:rPr>
          <w:iCs/>
          <w:i/>
        </w:rPr>
        <w:t xml:space="preserve">Journal of International Business Studies, 34</w:t>
      </w:r>
      <w:r>
        <w:t xml:space="preserve">(1), 5-18.</w:t>
      </w:r>
    </w:p>
    <w:p>
      <w:pPr>
        <w:pStyle w:val="BodyText"/>
      </w:pPr>
      <w:r>
        <w:t xml:space="preserve">Cusolito, A. P., &amp; Maloney, W. F. (2018).</w:t>
      </w:r>
      <w:r>
        <w:t xml:space="preserve"> </w:t>
      </w:r>
      <w:r>
        <w:rPr>
          <w:iCs/>
          <w:i/>
        </w:rPr>
        <w:t xml:space="preserve">Productivity revisited: Shifting paradigms in analysis and policy</w:t>
      </w:r>
      <w:r>
        <w:t xml:space="preserve">. World Bank Group.</w:t>
      </w:r>
    </w:p>
    <w:p>
      <w:pPr>
        <w:pStyle w:val="BodyText"/>
      </w:pPr>
      <w:r>
        <w:t xml:space="preserve">David, P. A. (1990). The dynamo and the computer: An historical perspective on the modern productivity paradox.</w:t>
      </w:r>
      <w:r>
        <w:t xml:space="preserve"> </w:t>
      </w:r>
      <w:r>
        <w:rPr>
          <w:iCs/>
          <w:i/>
        </w:rPr>
        <w:t xml:space="preserve">American Economic Review, 80</w:t>
      </w:r>
      <w:r>
        <w:t xml:space="preserve">(2), 355-361.</w:t>
      </w:r>
    </w:p>
    <w:p>
      <w:pPr>
        <w:pStyle w:val="BodyText"/>
      </w:pPr>
      <w:r>
        <w:t xml:space="preserve">Đỗ, T. H., &amp; Phan, A. T. (2026). Internationalization and firm performance in Vietnam.</w:t>
      </w:r>
      <w:r>
        <w:t xml:space="preserve"> </w:t>
      </w:r>
      <w:r>
        <w:rPr>
          <w:iCs/>
          <w:i/>
        </w:rPr>
        <w:t xml:space="preserve">Journal of Asia Business Studies</w:t>
      </w:r>
      <w:r>
        <w:t xml:space="preserve"> </w:t>
      </w:r>
      <w:r>
        <w:t xml:space="preserve">(under review).</w:t>
      </w:r>
    </w:p>
    <w:p>
      <w:pPr>
        <w:pStyle w:val="BodyText"/>
      </w:pPr>
      <w:r>
        <w:t xml:space="preserve">Hall, P. A., &amp; Soskice, D. (Eds.). (2001).</w:t>
      </w:r>
      <w:r>
        <w:t xml:space="preserve"> </w:t>
      </w:r>
      <w:r>
        <w:rPr>
          <w:iCs/>
          <w:i/>
        </w:rPr>
        <w:t xml:space="preserve">Varieties of capitalism: The institutional foundations of comparative advantage</w:t>
      </w:r>
      <w:r>
        <w:t xml:space="preserve">. Oxford University Press.</w:t>
      </w:r>
    </w:p>
    <w:p>
      <w:pPr>
        <w:pStyle w:val="BodyText"/>
      </w:pPr>
      <w:r>
        <w:t xml:space="preserve">Hertog, S. (2010).</w:t>
      </w:r>
      <w:r>
        <w:t xml:space="preserve"> </w:t>
      </w:r>
      <w:r>
        <w:rPr>
          <w:iCs/>
          <w:i/>
        </w:rPr>
        <w:t xml:space="preserve">Princes, brokers, and bureaucrats: Oil and the state in Saudi Arabia</w:t>
      </w:r>
      <w:r>
        <w:t xml:space="preserve">. Cornell University Press.</w:t>
      </w:r>
    </w:p>
    <w:p>
      <w:pPr>
        <w:pStyle w:val="BodyText"/>
      </w:pPr>
      <w:r>
        <w:t xml:space="preserve">Hsieh, C.-T., &amp; Klenow, P. J. (2009). Misallocation and manufacturing TFP in China and India.</w:t>
      </w:r>
      <w:r>
        <w:t xml:space="preserve"> </w:t>
      </w:r>
      <w:r>
        <w:rPr>
          <w:iCs/>
          <w:i/>
        </w:rPr>
        <w:t xml:space="preserve">Quarterly Journal of Economics, 124</w:t>
      </w:r>
      <w:r>
        <w:t xml:space="preserve">(4), 1403-1448.</w:t>
      </w:r>
    </w:p>
    <w:p>
      <w:pPr>
        <w:pStyle w:val="BodyText"/>
      </w:pPr>
      <w:r>
        <w:t xml:space="preserve">Hsieh, C.-T., &amp; Klenow, P. J. (2014). The life cycle of plants in India and Mexico.</w:t>
      </w:r>
      <w:r>
        <w:t xml:space="preserve"> </w:t>
      </w:r>
      <w:r>
        <w:rPr>
          <w:iCs/>
          <w:i/>
        </w:rPr>
        <w:t xml:space="preserve">Quarterly Journal of Economics, 129</w:t>
      </w:r>
      <w:r>
        <w:t xml:space="preserve">(3), 1035-1084.</w:t>
      </w:r>
    </w:p>
    <w:p>
      <w:pPr>
        <w:pStyle w:val="BodyText"/>
      </w:pPr>
      <w:r>
        <w:t xml:space="preserve">Johanson, J., &amp; Vahlne, J.-E. (1977). The internationalization process of the firm.</w:t>
      </w:r>
      <w:r>
        <w:t xml:space="preserve"> </w:t>
      </w:r>
      <w:r>
        <w:rPr>
          <w:iCs/>
          <w:i/>
        </w:rPr>
        <w:t xml:space="preserve">Journal of International Business Studies, 8</w:t>
      </w:r>
      <w:r>
        <w:t xml:space="preserve">(1), 23-32.</w:t>
      </w:r>
    </w:p>
    <w:p>
      <w:pPr>
        <w:pStyle w:val="BodyText"/>
      </w:pPr>
      <w:r>
        <w:t xml:space="preserve">Johanson, J., &amp; Vahlne, J.-E. (2009). The Uppsala internationalization process model revisited.</w:t>
      </w:r>
      <w:r>
        <w:t xml:space="preserve"> </w:t>
      </w:r>
      <w:r>
        <w:rPr>
          <w:iCs/>
          <w:i/>
        </w:rPr>
        <w:t xml:space="preserve">Journal of International Business Studies, 40</w:t>
      </w:r>
      <w:r>
        <w:t xml:space="preserve">(9), 1411-1431.</w:t>
      </w:r>
    </w:p>
    <w:p>
      <w:pPr>
        <w:pStyle w:val="BodyText"/>
      </w:pPr>
      <w:r>
        <w:t xml:space="preserve">Kafouros, M., Wang, C., Piperopoulos, P., &amp; Zhang, M. (2023). Academic publishing in business and management.</w:t>
      </w:r>
      <w:r>
        <w:t xml:space="preserve"> </w:t>
      </w:r>
      <w:r>
        <w:rPr>
          <w:iCs/>
          <w:i/>
        </w:rPr>
        <w:t xml:space="preserve">Global Strategy Journal, 13</w:t>
      </w:r>
      <w:r>
        <w:t xml:space="preserve">(1), 3-28.</w:t>
      </w:r>
    </w:p>
    <w:p>
      <w:pPr>
        <w:pStyle w:val="BodyText"/>
      </w:pPr>
      <w:r>
        <w:t xml:space="preserve">Kaufmann, D., Kraay, A., &amp; Mastruzzi, M. (2011). The worldwide governance indicators: Methodology and analytical issues.</w:t>
      </w:r>
      <w:r>
        <w:t xml:space="preserve"> </w:t>
      </w:r>
      <w:r>
        <w:rPr>
          <w:iCs/>
          <w:i/>
        </w:rPr>
        <w:t xml:space="preserve">Hague Journal on the Rule of Law, 3</w:t>
      </w:r>
      <w:r>
        <w:t xml:space="preserve">(2), 220-246.</w:t>
      </w:r>
    </w:p>
    <w:p>
      <w:pPr>
        <w:pStyle w:val="BodyText"/>
      </w:pPr>
      <w:r>
        <w:t xml:space="preserve">Khanna, T., &amp; Palepu, K. G. (2010).</w:t>
      </w:r>
      <w:r>
        <w:t xml:space="preserve"> </w:t>
      </w:r>
      <w:r>
        <w:rPr>
          <w:iCs/>
          <w:i/>
        </w:rPr>
        <w:t xml:space="preserve">Winning in emerging markets: A road map for strategy and execution</w:t>
      </w:r>
      <w:r>
        <w:t xml:space="preserve">. Harvard Business Press.</w:t>
      </w:r>
    </w:p>
    <w:p>
      <w:pPr>
        <w:pStyle w:val="BodyText"/>
      </w:pPr>
      <w:r>
        <w:t xml:space="preserve">Kirca, A. H., Hult, G. T. M., Deligonul, S., Perryy, M. Z., &amp; Cavusgil, S. T. (2012). A multilevel examination of the drivers of firm multinationality.</w:t>
      </w:r>
      <w:r>
        <w:t xml:space="preserve"> </w:t>
      </w:r>
      <w:r>
        <w:rPr>
          <w:iCs/>
          <w:i/>
        </w:rPr>
        <w:t xml:space="preserve">Journal of Management, 38</w:t>
      </w:r>
      <w:r>
        <w:t xml:space="preserve">(2), 502-530.</w:t>
      </w:r>
    </w:p>
    <w:p>
      <w:pPr>
        <w:pStyle w:val="BodyText"/>
      </w:pPr>
      <w:r>
        <w:t xml:space="preserve">Lu, J. W., &amp; Beamish, P. W. (2004). International diversification and firm performance: The S-curve hypothesis.</w:t>
      </w:r>
      <w:r>
        <w:t xml:space="preserve"> </w:t>
      </w:r>
      <w:r>
        <w:rPr>
          <w:iCs/>
          <w:i/>
        </w:rPr>
        <w:t xml:space="preserve">Academy of Management Journal, 47</w:t>
      </w:r>
      <w:r>
        <w:t xml:space="preserve">(4), 598-609.</w:t>
      </w:r>
    </w:p>
    <w:p>
      <w:pPr>
        <w:pStyle w:val="BodyText"/>
      </w:pPr>
      <w:r>
        <w:t xml:space="preserve">Mar, J., Đỗ, T. H., &amp; Phan, A. T. (2026). Digital adoption and internationalization in Singapore.</w:t>
      </w:r>
      <w:r>
        <w:t xml:space="preserve"> </w:t>
      </w:r>
      <w:r>
        <w:rPr>
          <w:iCs/>
          <w:i/>
        </w:rPr>
        <w:t xml:space="preserve">Management International Review</w:t>
      </w:r>
      <w:r>
        <w:t xml:space="preserve"> </w:t>
      </w:r>
      <w:r>
        <w:t xml:space="preserve">(under review).</w:t>
      </w:r>
    </w:p>
    <w:p>
      <w:pPr>
        <w:pStyle w:val="BodyText"/>
      </w:pPr>
      <w:r>
        <w:t xml:space="preserve">Marano, V., Arregle, J.-L., Hitt, M. A., Spadafora, E., &amp; van Essen, M. (2016). Home country institutions and the internationalization-performance relationship.</w:t>
      </w:r>
      <w:r>
        <w:t xml:space="preserve"> </w:t>
      </w:r>
      <w:r>
        <w:rPr>
          <w:iCs/>
          <w:i/>
        </w:rPr>
        <w:t xml:space="preserve">Journal of Management, 42</w:t>
      </w:r>
      <w:r>
        <w:t xml:space="preserve">(5), 1075-1110.</w:t>
      </w:r>
    </w:p>
    <w:p>
      <w:pPr>
        <w:pStyle w:val="BodyText"/>
      </w:pPr>
      <w:r>
        <w:t xml:space="preserve">North, D. C. (1990).</w:t>
      </w:r>
      <w:r>
        <w:t xml:space="preserve"> </w:t>
      </w:r>
      <w:r>
        <w:rPr>
          <w:iCs/>
          <w:i/>
        </w:rPr>
        <w:t xml:space="preserve">Institutions, institutional change and economic performance</w:t>
      </w:r>
      <w:r>
        <w:t xml:space="preserve">. Cambridge University Press.</w:t>
      </w:r>
    </w:p>
    <w:p>
      <w:pPr>
        <w:pStyle w:val="BodyText"/>
      </w:pPr>
      <w:r>
        <w:t xml:space="preserve">Peng, M. W. (2001). The resource-based view and international business.</w:t>
      </w:r>
      <w:r>
        <w:t xml:space="preserve"> </w:t>
      </w:r>
      <w:r>
        <w:rPr>
          <w:iCs/>
          <w:i/>
        </w:rPr>
        <w:t xml:space="preserve">Journal of Management, 27</w:t>
      </w:r>
      <w:r>
        <w:t xml:space="preserve">(6), 803-829.</w:t>
      </w:r>
    </w:p>
    <w:p>
      <w:pPr>
        <w:pStyle w:val="BodyText"/>
      </w:pPr>
      <w:r>
        <w:t xml:space="preserve">Peng, M. W. (2003). Institutional transitions and strategic choices.</w:t>
      </w:r>
      <w:r>
        <w:t xml:space="preserve"> </w:t>
      </w:r>
      <w:r>
        <w:rPr>
          <w:iCs/>
          <w:i/>
        </w:rPr>
        <w:t xml:space="preserve">Academy of Management Review, 28</w:t>
      </w:r>
      <w:r>
        <w:t xml:space="preserve">(2), 275-296.</w:t>
      </w:r>
    </w:p>
    <w:p>
      <w:pPr>
        <w:pStyle w:val="BodyText"/>
      </w:pPr>
      <w:r>
        <w:t xml:space="preserve">Sachs, J. D., &amp; Warner, A. M. (2001). The curse of natural resources.</w:t>
      </w:r>
      <w:r>
        <w:t xml:space="preserve"> </w:t>
      </w:r>
      <w:r>
        <w:rPr>
          <w:iCs/>
          <w:i/>
        </w:rPr>
        <w:t xml:space="preserve">European Economic Review, 45</w:t>
      </w:r>
      <w:r>
        <w:t xml:space="preserve">(4-6), 827-838.</w:t>
      </w:r>
    </w:p>
    <w:p>
      <w:pPr>
        <w:pStyle w:val="BodyText"/>
      </w:pPr>
      <w:r>
        <w:t xml:space="preserve">Schwens, C., Zapkau, F. B., Brouthers, K. D., &amp; Hollender, L. (2018). How overconfidence can blind internationalization performance predictions.</w:t>
      </w:r>
      <w:r>
        <w:t xml:space="preserve"> </w:t>
      </w:r>
      <w:r>
        <w:rPr>
          <w:iCs/>
          <w:i/>
        </w:rPr>
        <w:t xml:space="preserve">Journal of World Business, 53</w:t>
      </w:r>
      <w:r>
        <w:t xml:space="preserve">(3), 290-301.</w:t>
      </w:r>
    </w:p>
    <w:p>
      <w:pPr>
        <w:pStyle w:val="BodyText"/>
      </w:pPr>
      <w:r>
        <w:t xml:space="preserve">Sikdar, A., &amp; Mukhopadhyay, A. (2026). Technology spillovers and firm performance in India.</w:t>
      </w:r>
      <w:r>
        <w:t xml:space="preserve"> </w:t>
      </w:r>
      <w:r>
        <w:rPr>
          <w:iCs/>
          <w:i/>
        </w:rPr>
        <w:t xml:space="preserve">Asian Development Review, 43</w:t>
      </w:r>
      <w:r>
        <w:t xml:space="preserve">(1), 37-75.</w:t>
      </w:r>
    </w:p>
    <w:p>
      <w:pPr>
        <w:pStyle w:val="BodyText"/>
      </w:pPr>
      <w:r>
        <w:t xml:space="preserve">StartupBlink. (2026).</w:t>
      </w:r>
      <w:r>
        <w:t xml:space="preserve"> </w:t>
      </w:r>
      <w:r>
        <w:rPr>
          <w:iCs/>
          <w:i/>
        </w:rPr>
        <w:t xml:space="preserve">Global startup ecosystem index 2026</w:t>
      </w:r>
      <w:r>
        <w:t xml:space="preserve">. StartupBlink Research.</w:t>
      </w:r>
    </w:p>
    <w:p>
      <w:pPr>
        <w:pStyle w:val="BodyText"/>
      </w:pPr>
      <w:r>
        <w:t xml:space="preserve">Stallkamp, M., &amp; Schotter, A. P. J. (2021). Platforms without borders?</w:t>
      </w:r>
      <w:r>
        <w:t xml:space="preserve"> </w:t>
      </w:r>
      <w:r>
        <w:rPr>
          <w:iCs/>
          <w:i/>
        </w:rPr>
        <w:t xml:space="preserve">Global Strategy Journal, 11</w:t>
      </w:r>
      <w:r>
        <w:t xml:space="preserve">(1), 58-80.</w:t>
      </w:r>
    </w:p>
    <w:p>
      <w:pPr>
        <w:pStyle w:val="BodyText"/>
      </w:pPr>
      <w:r>
        <w:t xml:space="preserve">Teece, D. J., Pisano, G., &amp; Shuen, A. (1997). Dynamic capabilities and strategic management.</w:t>
      </w:r>
      <w:r>
        <w:t xml:space="preserve"> </w:t>
      </w:r>
      <w:r>
        <w:rPr>
          <w:iCs/>
          <w:i/>
        </w:rPr>
        <w:t xml:space="preserve">Strategic Management Journal, 18</w:t>
      </w:r>
      <w:r>
        <w:t xml:space="preserve">(7), 509-533.</w:t>
      </w:r>
    </w:p>
    <w:p>
      <w:pPr>
        <w:pStyle w:val="BodyText"/>
      </w:pPr>
      <w:r>
        <w:t xml:space="preserve">UNCTAD. (2023).</w:t>
      </w:r>
      <w:r>
        <w:t xml:space="preserve"> </w:t>
      </w:r>
      <w:r>
        <w:rPr>
          <w:iCs/>
          <w:i/>
        </w:rPr>
        <w:t xml:space="preserve">World investment report 2023</w:t>
      </w:r>
      <w:r>
        <w:t xml:space="preserve">. United Nations Conference on Trade and Development.</w:t>
      </w:r>
    </w:p>
    <w:p>
      <w:pPr>
        <w:pStyle w:val="BodyText"/>
      </w:pPr>
      <w:r>
        <w:t xml:space="preserve">Venkatraman, N., &amp; Ramanujam, V. (1986). Measurement of business performance in strategy research.</w:t>
      </w:r>
      <w:r>
        <w:t xml:space="preserve"> </w:t>
      </w:r>
      <w:r>
        <w:rPr>
          <w:iCs/>
          <w:i/>
        </w:rPr>
        <w:t xml:space="preserve">Academy of Management Review, 11</w:t>
      </w:r>
      <w:r>
        <w:t xml:space="preserve">(4), 801-814.</w:t>
      </w:r>
    </w:p>
    <w:p>
      <w:pPr>
        <w:pStyle w:val="BodyText"/>
      </w:pPr>
      <w:r>
        <w:t xml:space="preserve">Verhoef, P. C., Broekhuizen, T., Bart, Y., Bhattacharya, A., Dong, J. Q., Fabian, N., &amp; Haenlein, M. (2021). Digital transformation: A multidisciplinary reflection and research agenda.</w:t>
      </w:r>
      <w:r>
        <w:t xml:space="preserve"> </w:t>
      </w:r>
      <w:r>
        <w:rPr>
          <w:iCs/>
          <w:i/>
        </w:rPr>
        <w:t xml:space="preserve">Journal of Business Research, 122</w:t>
      </w:r>
      <w:r>
        <w:t xml:space="preserve">, 889-901.</w:t>
      </w:r>
    </w:p>
    <w:p>
      <w:pPr>
        <w:pStyle w:val="BodyText"/>
      </w:pPr>
      <w:r>
        <w:t xml:space="preserve">Wang, J., Huang, Y., &amp; Hong, H. (2024). Technology concentration and bank risk: Evidence from Chinese commercial banks.</w:t>
      </w:r>
      <w:r>
        <w:t xml:space="preserve"> </w:t>
      </w:r>
      <w:r>
        <w:rPr>
          <w:iCs/>
          <w:i/>
        </w:rPr>
        <w:t xml:space="preserve">International Review of Financial Analysis, 91</w:t>
      </w:r>
      <w:r>
        <w:t xml:space="preserve">, 102968.</w:t>
      </w:r>
    </w:p>
    <w:p>
      <w:pPr>
        <w:pStyle w:val="BodyText"/>
      </w:pPr>
      <w:r>
        <w:t xml:space="preserve">Wernerfelt, B. (1984). A resource-based view of the firm.</w:t>
      </w:r>
      <w:r>
        <w:t xml:space="preserve"> </w:t>
      </w:r>
      <w:r>
        <w:rPr>
          <w:iCs/>
          <w:i/>
        </w:rPr>
        <w:t xml:space="preserve">Strategic Management Journal, 5</w:t>
      </w:r>
      <w:r>
        <w:t xml:space="preserve">(2), 171-180.</w:t>
      </w:r>
    </w:p>
    <w:p>
      <w:pPr>
        <w:pStyle w:val="BodyText"/>
      </w:pPr>
      <w:r>
        <w:t xml:space="preserve">Williamson, O. E. (1985).</w:t>
      </w:r>
      <w:r>
        <w:t xml:space="preserve"> </w:t>
      </w:r>
      <w:r>
        <w:rPr>
          <w:iCs/>
          <w:i/>
        </w:rPr>
        <w:t xml:space="preserve">The economic institutions of capitalism</w:t>
      </w:r>
      <w:r>
        <w:t xml:space="preserve">. Free Press.</w:t>
      </w:r>
    </w:p>
    <w:p>
      <w:pPr>
        <w:pStyle w:val="BodyText"/>
      </w:pPr>
      <w:r>
        <w:t xml:space="preserve">World Bank. (2023).</w:t>
      </w:r>
      <w:r>
        <w:t xml:space="preserve"> </w:t>
      </w:r>
      <w:r>
        <w:rPr>
          <w:iCs/>
          <w:i/>
        </w:rPr>
        <w:t xml:space="preserve">World Bank Enterprise Surveys 2023</w:t>
      </w:r>
      <w:r>
        <w:t xml:space="preserve">. World Bank Group.</w:t>
      </w:r>
    </w:p>
    <w:p>
      <w:pPr>
        <w:pStyle w:val="BodyText"/>
      </w:pPr>
      <w:r>
        <w:t xml:space="preserve">World Bank. (2024).</w:t>
      </w:r>
      <w:r>
        <w:t xml:space="preserve"> </w:t>
      </w:r>
      <w:r>
        <w:rPr>
          <w:iCs/>
          <w:i/>
        </w:rPr>
        <w:t xml:space="preserve">World development indicators 2024</w:t>
      </w:r>
      <w:r>
        <w:t xml:space="preserve">. World Bank Group.</w:t>
      </w:r>
    </w:p>
    <w:p>
      <w:pPr>
        <w:pStyle w:val="BodyText"/>
      </w:pPr>
      <w:r>
        <w:t xml:space="preserve">World Bank. (2025).</w:t>
      </w:r>
      <w:r>
        <w:t xml:space="preserve"> </w:t>
      </w:r>
      <w:r>
        <w:rPr>
          <w:iCs/>
          <w:i/>
        </w:rPr>
        <w:t xml:space="preserve">World Bank Enterprise Surveys 2025</w:t>
      </w:r>
      <w:r>
        <w:t xml:space="preserve">. World Bank Group.</w:t>
      </w:r>
    </w:p>
    <w:p>
      <w:pPr>
        <w:pStyle w:val="BodyText"/>
      </w:pPr>
      <w:r>
        <w:t xml:space="preserve">Wu, J., Li, S., &amp; Selover, D. D. (2022). Foreign direct investment vs foreign trade: Substitutes or complements?</w:t>
      </w:r>
      <w:r>
        <w:t xml:space="preserve"> </w:t>
      </w:r>
      <w:r>
        <w:rPr>
          <w:iCs/>
          <w:i/>
        </w:rPr>
        <w:t xml:space="preserve">Journal of International Business Studies, 53</w:t>
      </w:r>
      <w:r>
        <w:t xml:space="preserve">(9), 1726-1743.</w:t>
      </w:r>
    </w:p>
    <w:p>
      <w:pPr>
        <w:pStyle w:val="BodyText"/>
      </w:pPr>
      <w:r>
        <w:t xml:space="preserve">Xu, D. (2024). De jure versus de facto institutional distance.</w:t>
      </w:r>
      <w:r>
        <w:t xml:space="preserve"> </w:t>
      </w:r>
      <w:r>
        <w:rPr>
          <w:iCs/>
          <w:i/>
        </w:rPr>
        <w:t xml:space="preserve">Global Strategy Journal, 14</w:t>
      </w:r>
      <w:r>
        <w:t xml:space="preserve">(2), 187-215.</w:t>
      </w:r>
    </w:p>
    <w:p>
      <w:r>
        <w:pict>
          <v:rect style="width:0;height:1.5pt" o:hralign="center" o:hrstd="t" o:hr="t"/>
        </w:pict>
      </w:r>
    </w:p>
    <w:bookmarkEnd w:id="82"/>
    <w:bookmarkStart w:id="84" w:name="phụ-lục"/>
    <w:p>
      <w:pPr>
        <w:pStyle w:val="Heading2"/>
      </w:pPr>
      <w:r>
        <w:t xml:space="preserve">PHỤ LỤC</w:t>
      </w:r>
    </w:p>
    <w:bookmarkStart w:id="83" w:name="Xac7090a743afa00f99b5424d88f7949cab3c6cf"/>
    <w:p>
      <w:pPr>
        <w:pStyle w:val="Heading3"/>
      </w:pPr>
      <w:r>
        <w:t xml:space="preserve">Phụ lục A, Phạm vi thực tế của nhóm dữ liệu WBES</w:t>
      </w:r>
    </w:p>
    <w:p>
      <w:pPr>
        <w:pStyle w:val="FirstParagraph"/>
      </w:pPr>
      <w:r>
        <w:rPr>
          <w:bCs/>
          <w:b/>
        </w:rPr>
        <w:t xml:space="preserve">Bảng A.1</w:t>
      </w:r>
      <w:r>
        <w:t xml:space="preserve">.</w:t>
      </w:r>
      <w:r>
        <w:t xml:space="preserve"> </w:t>
      </w:r>
      <w:r>
        <w:rPr>
          <w:iCs/>
          <w:i/>
        </w:rPr>
        <w:t xml:space="preserve">Phân bổ 47 nền kinh tế theo nhóm ICRV, 101.185 doanh nghiệp, 108 cặp quốc gia-năm.</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Nhóm ICRV</w:t>
            </w:r>
          </w:p>
        </w:tc>
        <w:tc>
          <w:tcPr/>
          <w:p>
            <w:pPr>
              <w:pStyle w:val="Compact"/>
              <w:jc w:val="left"/>
            </w:pPr>
            <w:r>
              <w:t xml:space="preserve">Nền kinh tế</w:t>
            </w:r>
          </w:p>
        </w:tc>
        <w:tc>
          <w:tcPr/>
          <w:p>
            <w:pPr>
              <w:pStyle w:val="Compact"/>
              <w:jc w:val="left"/>
            </w:pPr>
            <w:r>
              <w:t xml:space="preserve">n (xấp xỉ)</w:t>
            </w:r>
          </w:p>
        </w:tc>
        <w:tc>
          <w:tcPr/>
          <w:p>
            <w:pPr>
              <w:pStyle w:val="Compact"/>
              <w:jc w:val="left"/>
            </w:pPr>
            <w:r>
              <w:t xml:space="preserve">Sóng khảo sát</w:t>
            </w:r>
          </w:p>
        </w:tc>
      </w:tr>
      <w:tr>
        <w:tc>
          <w:tcPr/>
          <w:p>
            <w:pPr>
              <w:pStyle w:val="Compact"/>
              <w:jc w:val="left"/>
            </w:pPr>
            <w:r>
              <w:rPr>
                <w:bCs/>
                <w:b/>
              </w:rPr>
              <w:t xml:space="preserve">Nhóm I, Advanced đổi mới sáng tạo</w:t>
            </w:r>
          </w:p>
        </w:tc>
        <w:tc>
          <w:tcPr/>
          <w:p>
            <w:pPr>
              <w:pStyle w:val="Compact"/>
              <w:jc w:val="left"/>
            </w:pPr>
            <w:r>
              <w:t xml:space="preserve">Singapore, Hong Kong SAR, Hàn Quốc, Đài Loan, Israel</w:t>
            </w:r>
          </w:p>
        </w:tc>
        <w:tc>
          <w:tcPr/>
          <w:p>
            <w:pPr>
              <w:pStyle w:val="Compact"/>
              <w:jc w:val="left"/>
            </w:pPr>
            <w:r>
              <w:t xml:space="preserve">~8.200</w:t>
            </w:r>
          </w:p>
        </w:tc>
        <w:tc>
          <w:tcPr/>
          <w:p>
            <w:pPr>
              <w:pStyle w:val="Compact"/>
              <w:jc w:val="left"/>
            </w:pPr>
            <w:r>
              <w:t xml:space="preserve">2009-2025</w:t>
            </w:r>
          </w:p>
        </w:tc>
      </w:tr>
      <w:tr>
        <w:tc>
          <w:tcPr/>
          <w:p>
            <w:pPr>
              <w:pStyle w:val="Compact"/>
              <w:jc w:val="left"/>
            </w:pPr>
            <w:r>
              <w:rPr>
                <w:bCs/>
                <w:b/>
              </w:rPr>
              <w:t xml:space="preserve">Nhóm II, Advanced tài nguyên</w:t>
            </w:r>
          </w:p>
        </w:tc>
        <w:tc>
          <w:tcPr/>
          <w:p>
            <w:pPr>
              <w:pStyle w:val="Compact"/>
              <w:jc w:val="left"/>
            </w:pPr>
            <w:r>
              <w:t xml:space="preserve">Saudi Arabia, Qatar, Kuwait, Bahrain, Brunei</w:t>
            </w:r>
          </w:p>
        </w:tc>
        <w:tc>
          <w:tcPr/>
          <w:p>
            <w:pPr>
              <w:pStyle w:val="Compact"/>
              <w:jc w:val="left"/>
            </w:pPr>
            <w:r>
              <w:t xml:space="preserve">~4.100</w:t>
            </w:r>
          </w:p>
        </w:tc>
        <w:tc>
          <w:tcPr/>
          <w:p>
            <w:pPr>
              <w:pStyle w:val="Compact"/>
              <w:jc w:val="left"/>
            </w:pPr>
            <w:r>
              <w:t xml:space="preserve">2013-2025</w:t>
            </w:r>
          </w:p>
        </w:tc>
      </w:tr>
      <w:tr>
        <w:tc>
          <w:tcPr/>
          <w:p>
            <w:pPr>
              <w:pStyle w:val="Compact"/>
              <w:jc w:val="left"/>
            </w:pPr>
            <w:r>
              <w:rPr>
                <w:bCs/>
                <w:b/>
              </w:rPr>
              <w:t xml:space="preserve">Nhóm III, Upper-middle chuyển đổi</w:t>
            </w:r>
          </w:p>
        </w:tc>
        <w:tc>
          <w:tcPr/>
          <w:p>
            <w:pPr>
              <w:pStyle w:val="Compact"/>
              <w:jc w:val="left"/>
            </w:pPr>
            <w:r>
              <w:t xml:space="preserve">Trung Quốc, Malaysia, Thái Lan, Kazakhstan, Armenia, Georgia</w:t>
            </w:r>
          </w:p>
        </w:tc>
        <w:tc>
          <w:tcPr/>
          <w:p>
            <w:pPr>
              <w:pStyle w:val="Compact"/>
              <w:jc w:val="left"/>
            </w:pPr>
            <w:r>
              <w:t xml:space="preserve">~12.300</w:t>
            </w:r>
          </w:p>
        </w:tc>
        <w:tc>
          <w:tcPr/>
          <w:p>
            <w:pPr>
              <w:pStyle w:val="Compact"/>
              <w:jc w:val="left"/>
            </w:pPr>
            <w:r>
              <w:t xml:space="preserve">2009-2023</w:t>
            </w:r>
          </w:p>
        </w:tc>
      </w:tr>
      <w:tr>
        <w:tc>
          <w:tcPr/>
          <w:p>
            <w:pPr>
              <w:pStyle w:val="Compact"/>
              <w:jc w:val="left"/>
            </w:pPr>
            <w:r>
              <w:rPr>
                <w:bCs/>
                <w:b/>
              </w:rPr>
              <w:t xml:space="preserve">Nhóm IV, Emerging chế tạo</w:t>
            </w:r>
          </w:p>
        </w:tc>
        <w:tc>
          <w:tcPr/>
          <w:p>
            <w:pPr>
              <w:pStyle w:val="Compact"/>
              <w:jc w:val="left"/>
            </w:pPr>
            <w:r>
              <w:t xml:space="preserve">Việt Nam, Indonesia, Philippines, Ấn Độ, Sri Lanka, Jordan, Mông Cổ</w:t>
            </w:r>
          </w:p>
        </w:tc>
        <w:tc>
          <w:tcPr/>
          <w:p>
            <w:pPr>
              <w:pStyle w:val="Compact"/>
              <w:jc w:val="left"/>
            </w:pPr>
            <w:r>
              <w:t xml:space="preserve">~21.000</w:t>
            </w:r>
          </w:p>
        </w:tc>
        <w:tc>
          <w:tcPr/>
          <w:p>
            <w:pPr>
              <w:pStyle w:val="Compact"/>
              <w:jc w:val="left"/>
            </w:pPr>
            <w:r>
              <w:t xml:space="preserve">2009-2025</w:t>
            </w:r>
          </w:p>
        </w:tc>
      </w:tr>
      <w:tr>
        <w:tc>
          <w:tcPr/>
          <w:p>
            <w:pPr>
              <w:pStyle w:val="Compact"/>
              <w:jc w:val="left"/>
            </w:pPr>
            <w:r>
              <w:rPr>
                <w:bCs/>
                <w:b/>
              </w:rPr>
              <w:t xml:space="preserve">Nhóm V, Frontier cận biên</w:t>
            </w:r>
          </w:p>
        </w:tc>
        <w:tc>
          <w:tcPr/>
          <w:p>
            <w:pPr>
              <w:pStyle w:val="Compact"/>
              <w:jc w:val="left"/>
            </w:pPr>
            <w:r>
              <w:t xml:space="preserve">Bangladesh, Pakistan, Lào, Campuchia, Myanmar, Nepal, Bhutan, Maldives, Uzbekistan, Tajikistan, Kyrgyzstan, Turkmenistan, Afghanistan, Timor-Leste, Iraq, Lebanon, Yemen</w:t>
            </w:r>
          </w:p>
        </w:tc>
        <w:tc>
          <w:tcPr/>
          <w:p>
            <w:pPr>
              <w:pStyle w:val="Compact"/>
              <w:jc w:val="left"/>
            </w:pPr>
            <w:r>
              <w:t xml:space="preserve">~53.200</w:t>
            </w:r>
          </w:p>
        </w:tc>
        <w:tc>
          <w:tcPr/>
          <w:p>
            <w:pPr>
              <w:pStyle w:val="Compact"/>
              <w:jc w:val="left"/>
            </w:pPr>
            <w:r>
              <w:t xml:space="preserve">2009-2025</w:t>
            </w:r>
          </w:p>
        </w:tc>
      </w:tr>
      <w:tr>
        <w:tc>
          <w:tcPr/>
          <w:p>
            <w:pPr>
              <w:pStyle w:val="Compact"/>
              <w:jc w:val="left"/>
            </w:pPr>
            <w:r>
              <w:rPr>
                <w:bCs/>
                <w:b/>
              </w:rPr>
              <w:t xml:space="preserve">Nhóm VI, SIDS Pacific</w:t>
            </w:r>
          </w:p>
        </w:tc>
        <w:tc>
          <w:tcPr/>
          <w:p>
            <w:pPr>
              <w:pStyle w:val="Compact"/>
              <w:jc w:val="left"/>
            </w:pPr>
            <w:r>
              <w:t xml:space="preserve">Fiji, Papua New Guinea, Solomon Islands, Tonga, Vanuatu, Samoa, Kiribati</w:t>
            </w:r>
          </w:p>
        </w:tc>
        <w:tc>
          <w:tcPr/>
          <w:p>
            <w:pPr>
              <w:pStyle w:val="Compact"/>
              <w:jc w:val="left"/>
            </w:pPr>
            <w:r>
              <w:t xml:space="preserve">~2.385</w:t>
            </w:r>
          </w:p>
        </w:tc>
        <w:tc>
          <w:tcPr/>
          <w:p>
            <w:pPr>
              <w:pStyle w:val="Compact"/>
              <w:jc w:val="left"/>
            </w:pPr>
            <w:r>
              <w:t xml:space="preserve">2009-2025</w:t>
            </w:r>
          </w:p>
        </w:tc>
      </w:tr>
      <w:tr>
        <w:tc>
          <w:tcPr/>
          <w:p>
            <w:pPr>
              <w:pStyle w:val="Compact"/>
              <w:jc w:val="left"/>
            </w:pPr>
            <w:r>
              <w:rPr>
                <w:bCs/>
                <w:b/>
              </w:rPr>
              <w:t xml:space="preserve">Tổng</w:t>
            </w:r>
          </w:p>
        </w:tc>
        <w:tc>
          <w:tcPr/>
          <w:p>
            <w:pPr>
              <w:pStyle w:val="Compact"/>
              <w:jc w:val="left"/>
            </w:pPr>
            <w:r>
              <w:rPr>
                <w:bCs/>
                <w:b/>
              </w:rPr>
              <w:t xml:space="preserve">47 nền kinh tế</w:t>
            </w:r>
          </w:p>
        </w:tc>
        <w:tc>
          <w:tcPr/>
          <w:p>
            <w:pPr>
              <w:pStyle w:val="Compact"/>
              <w:jc w:val="left"/>
            </w:pPr>
            <w:r>
              <w:rPr>
                <w:bCs/>
                <w:b/>
              </w:rPr>
              <w:t xml:space="preserve">~101.185</w:t>
            </w:r>
          </w:p>
        </w:tc>
        <w:tc>
          <w:tcPr/>
          <w:p>
            <w:pPr>
              <w:pStyle w:val="Compact"/>
              <w:jc w:val="left"/>
            </w:pPr>
            <w:r>
              <w:rPr>
                <w:bCs/>
                <w:b/>
              </w:rPr>
              <w:t xml:space="preserve">14 sóng</w:t>
            </w:r>
          </w:p>
        </w:tc>
      </w:tr>
    </w:tbl>
    <w:p>
      <w:pPr>
        <w:pStyle w:val="BodyText"/>
      </w:pPr>
      <w:r>
        <w:rPr>
          <w:iCs/>
          <w:i/>
        </w:rPr>
        <w:t xml:space="preserve">Ghi chú: n xấp xỉ do hài hòa hóa loại quan sát thiếu biến phụ thuộc. Phân bổ chính xác tại Bảng 2.3.3.1.</w:t>
      </w:r>
    </w:p>
    <w:p>
      <w:pPr>
        <w:pStyle w:val="BodyText"/>
      </w:pPr>
      <w:r>
        <w:rPr>
          <w:bCs/>
          <w:b/>
        </w:rPr>
        <w:t xml:space="preserve">Ba thế hệ schema WBES</w:t>
      </w:r>
      <w:r>
        <w:t xml:space="preserv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Schema</w:t>
            </w:r>
          </w:p>
        </w:tc>
        <w:tc>
          <w:tcPr/>
          <w:p>
            <w:pPr>
              <w:pStyle w:val="Compact"/>
              <w:jc w:val="left"/>
            </w:pPr>
            <w:r>
              <w:t xml:space="preserve">Năm</w:t>
            </w:r>
          </w:p>
        </w:tc>
        <w:tc>
          <w:tcPr/>
          <w:p>
            <w:pPr>
              <w:pStyle w:val="Compact"/>
              <w:jc w:val="left"/>
            </w:pPr>
            <w:r>
              <w:t xml:space="preserve">n</w:t>
            </w:r>
          </w:p>
        </w:tc>
        <w:tc>
          <w:tcPr/>
          <w:p>
            <w:pPr>
              <w:pStyle w:val="Compact"/>
              <w:jc w:val="left"/>
            </w:pPr>
            <w:r>
              <w:t xml:space="preserve">Phạm vi DAI</w:t>
            </w:r>
          </w:p>
        </w:tc>
      </w:tr>
      <w:tr>
        <w:tc>
          <w:tcPr/>
          <w:p>
            <w:pPr>
              <w:pStyle w:val="Compact"/>
              <w:jc w:val="left"/>
            </w:pPr>
            <w:r>
              <w:t xml:space="preserve">PICS3</w:t>
            </w:r>
          </w:p>
        </w:tc>
        <w:tc>
          <w:tcPr/>
          <w:p>
            <w:pPr>
              <w:pStyle w:val="Compact"/>
              <w:jc w:val="left"/>
            </w:pPr>
            <w:r>
              <w:t xml:space="preserve">2009-2012</w:t>
            </w:r>
          </w:p>
        </w:tc>
        <w:tc>
          <w:tcPr/>
          <w:p>
            <w:pPr>
              <w:pStyle w:val="Compact"/>
              <w:jc w:val="left"/>
            </w:pPr>
            <w:r>
              <w:t xml:space="preserve">14.171</w:t>
            </w:r>
          </w:p>
        </w:tc>
        <w:tc>
          <w:tcPr/>
          <w:p>
            <w:pPr>
              <w:pStyle w:val="Compact"/>
              <w:jc w:val="left"/>
            </w:pPr>
            <w:r>
              <w:t xml:space="preserve">Chỉ Tier-1 (website nhị phân)</w:t>
            </w:r>
          </w:p>
        </w:tc>
      </w:tr>
      <w:tr>
        <w:tc>
          <w:tcPr/>
          <w:p>
            <w:pPr>
              <w:pStyle w:val="Compact"/>
              <w:jc w:val="left"/>
            </w:pPr>
            <w:r>
              <w:t xml:space="preserve">Standardized</w:t>
            </w:r>
          </w:p>
        </w:tc>
        <w:tc>
          <w:tcPr/>
          <w:p>
            <w:pPr>
              <w:pStyle w:val="Compact"/>
              <w:jc w:val="left"/>
            </w:pPr>
            <w:r>
              <w:t xml:space="preserve">2013-2017</w:t>
            </w:r>
          </w:p>
        </w:tc>
        <w:tc>
          <w:tcPr/>
          <w:p>
            <w:pPr>
              <w:pStyle w:val="Compact"/>
              <w:jc w:val="left"/>
            </w:pPr>
            <w:r>
              <w:t xml:space="preserve">24.564</w:t>
            </w:r>
          </w:p>
        </w:tc>
        <w:tc>
          <w:tcPr/>
          <w:p>
            <w:pPr>
              <w:pStyle w:val="Compact"/>
              <w:jc w:val="left"/>
            </w:pPr>
            <w:r>
              <w:t xml:space="preserve">Chỉ Tier-1</w:t>
            </w:r>
          </w:p>
        </w:tc>
      </w:tr>
      <w:tr>
        <w:tc>
          <w:tcPr/>
          <w:p>
            <w:pPr>
              <w:pStyle w:val="Compact"/>
              <w:jc w:val="left"/>
            </w:pPr>
            <w:r>
              <w:t xml:space="preserve">BREADY/BEE</w:t>
            </w:r>
          </w:p>
        </w:tc>
        <w:tc>
          <w:tcPr/>
          <w:p>
            <w:pPr>
              <w:pStyle w:val="Compact"/>
              <w:jc w:val="left"/>
            </w:pPr>
            <w:r>
              <w:t xml:space="preserve">2018-2025</w:t>
            </w:r>
          </w:p>
        </w:tc>
        <w:tc>
          <w:tcPr/>
          <w:p>
            <w:pPr>
              <w:pStyle w:val="Compact"/>
              <w:jc w:val="left"/>
            </w:pPr>
            <w:r>
              <w:t xml:space="preserve">62.450</w:t>
            </w:r>
          </w:p>
        </w:tc>
        <w:tc>
          <w:tcPr/>
          <w:p>
            <w:pPr>
              <w:pStyle w:val="Compact"/>
              <w:jc w:val="left"/>
            </w:pPr>
            <w:r>
              <w:t xml:space="preserve">Tier-1 + Tier-2 (thanh toán điện tử k33/k38)</w:t>
            </w:r>
          </w:p>
        </w:tc>
      </w:tr>
    </w:tbl>
    <w:p>
      <w:pPr>
        <w:pStyle w:val="BodyText"/>
      </w:pPr>
      <w:r>
        <w:t xml:space="preserve">Hệ thống phòng thủ ba tầng (Mục 2.2) đảm bảo kết quả từ BREADY 2025 không bị nhiễu hiệu ứng schema.</w:t>
      </w:r>
    </w:p>
    <w:p>
      <w:r>
        <w:pict>
          <v:rect style="width:0;height:1.5pt" o:hralign="center" o:hrstd="t" o:hr="t"/>
        </w:pict>
      </w:r>
    </w:p>
    <w:p>
      <w:pPr>
        <w:pStyle w:val="FirstParagraph"/>
      </w:pPr>
      <w:r>
        <w:rPr>
          <w:iCs/>
          <w:i/>
        </w:rPr>
        <w:t xml:space="preserve">Chuyên đề tiến sĩ số 1, Phiên bản nộp (12/05/2026)</w:t>
      </w:r>
      <w:r>
        <w:t xml:space="preserve"> </w:t>
      </w:r>
      <w:r>
        <w:rPr>
          <w:iCs/>
          <w:i/>
        </w:rPr>
        <w:t xml:space="preserve">Nghiên cứu sinh: Đỗ Thùy Hương, Trường Đại học Kỹ thuật Công nghệ Vĩnh Long (VLUTE)</w:t>
      </w:r>
      <w:r>
        <w:t xml:space="preserve"> </w:t>
      </w:r>
      <w:r>
        <w:rPr>
          <w:iCs/>
          <w:i/>
        </w:rPr>
        <w:t xml:space="preserve">Người hướng dẫn: TS. Nguyễn Minh Cảnh, Trường Kinh tế, Đại học Cần Thơ (CTU)</w:t>
      </w:r>
    </w:p>
    <w:bookmarkEnd w:id="83"/>
    <w:bookmarkEnd w:id="84"/>
    <w:sectPr>
      <w:pgSz w:h="16838" w:w="11906"/>
      <w:pgMar w:bottom="1134" w:left="1701" w:right="1134"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31">
    <w:nsid w:val="A9943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35">
    <w:nsid w:val="A9943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360" w:lineRule="auto"/>
      <w:jc w:val="both"/>
    </w:pPr>
    <w:rPr>
      <w:rFonts w:ascii="Times New Roman" w:eastAsia="Times New Roman" w:hAnsi="Times New Roman"/>
      <w:color w:val="000000"/>
      <w:sz w:val="26"/>
    </w:rPr>
  </w:style>
  <w:style w:styleId="BodyText" w:type="paragraph">
    <w:name w:val="Body Text"/>
    <w:basedOn w:val="Normal"/>
    <w:link w:val="BodyTextChar"/>
    <w:pPr>
      <w:spacing w:after="180" w:before="180" w:line="360" w:lineRule="auto"/>
      <w:jc w:val="both"/>
    </w:pPr>
    <w:qFormat/>
    <w:rPr>
      <w:rFonts w:ascii="Times New Roman" w:eastAsia="Times New Roman" w:hAnsi="Times New Roman"/>
      <w:color w:val="000000"/>
      <w:sz w:val="26"/>
    </w:rPr>
  </w:style>
  <w:style w:customStyle="1" w:styleId="FirstParagraph" w:type="paragraph">
    <w:name w:val="First Paragraph"/>
    <w:basedOn w:val="BodyText"/>
    <w:next w:val="BodyText"/>
    <w:qFormat/>
    <w:pPr>
      <w:spacing w:line="360" w:lineRule="auto"/>
      <w:jc w:val="both"/>
    </w:pPr>
    <w:rPr>
      <w:rFonts w:ascii="Times New Roman" w:eastAsia="Times New Roman" w:hAnsi="Times New Roman"/>
      <w:color w:val="000000"/>
      <w:sz w:val="26"/>
    </w:rPr>
  </w:style>
  <w:style w:customStyle="1" w:styleId="Compact" w:type="paragraph">
    <w:name w:val="Compact"/>
    <w:basedOn w:val="BodyText"/>
    <w:qFormat/>
    <w:pPr>
      <w:spacing w:after="36" w:before="36" w:line="360" w:lineRule="auto"/>
      <w:jc w:val="both"/>
    </w:pPr>
    <w:rPr>
      <w:rFonts w:ascii="Times New Roman" w:eastAsia="Times New Roman" w:hAnsi="Times New Roman"/>
      <w:color w:val="000000"/>
      <w:sz w:val="26"/>
    </w:rPr>
  </w:style>
  <w:style w:styleId="Title" w:type="paragraph">
    <w:name w:val="Title"/>
    <w:basedOn w:val="Normal"/>
    <w:next w:val="BodyText"/>
    <w:qFormat/>
    <w:pPr>
      <w:keepNext/>
      <w:keepLines/>
      <w:spacing w:after="240" w:before="480" w:line="360" w:lineRule="auto"/>
      <w:jc w:val="both"/>
    </w:pPr>
    <w:rPr>
      <w:rFonts w:ascii="Times New Roman" w:asciiTheme="majorHAnsi" w:cstheme="majorBidi" w:eastAsia="Times New Roman" w:eastAsiaTheme="majorEastAsia" w:hAnsi="Times New Roman" w:hAnsiTheme="majorHAnsi"/>
      <w:b/>
      <w:bCs/>
      <w:color w:val="000000"/>
      <w:sz w:val="26"/>
      <w:szCs w:val="36"/>
    </w:rPr>
  </w:style>
  <w:style w:styleId="Subtitle" w:type="paragraph">
    <w:name w:val="Subtitle"/>
    <w:basedOn w:val="Title"/>
    <w:next w:val="BodyText"/>
    <w:qFormat/>
    <w:pPr>
      <w:keepNext/>
      <w:keepLines/>
      <w:spacing w:after="240" w:before="240" w:line="360" w:lineRule="auto"/>
      <w:jc w:val="both"/>
    </w:pPr>
    <w:rPr>
      <w:rFonts w:ascii="Times New Roman" w:eastAsia="Times New Roman" w:hAnsi="Times New Roman"/>
      <w:color w:val="000000"/>
      <w:sz w:val="26"/>
      <w:szCs w:val="30"/>
    </w:rPr>
  </w:style>
  <w:style w:customStyle="1" w:styleId="Author" w:type="paragraph">
    <w:name w:val="Author"/>
    <w:next w:val="BodyText"/>
    <w:qFormat/>
    <w:pPr>
      <w:keepNext/>
      <w:keepLines/>
      <w:spacing w:line="360" w:lineRule="auto"/>
      <w:jc w:val="both"/>
    </w:pPr>
    <w:rPr>
      <w:rFonts w:ascii="Times New Roman" w:eastAsia="Times New Roman" w:hAnsi="Times New Roman"/>
      <w:color w:val="000000"/>
      <w:sz w:val="26"/>
    </w:rPr>
  </w:style>
  <w:style w:styleId="Date" w:type="paragraph">
    <w:name w:val="Date"/>
    <w:next w:val="BodyText"/>
    <w:qFormat/>
    <w:pPr>
      <w:keepNext/>
      <w:keepLines/>
      <w:spacing w:line="360" w:lineRule="auto"/>
      <w:jc w:val="both"/>
    </w:pPr>
    <w:rPr>
      <w:rFonts w:ascii="Times New Roman" w:eastAsia="Times New Roman" w:hAnsi="Times New Roman"/>
      <w:color w:val="000000"/>
      <w:sz w:val="26"/>
    </w:rPr>
  </w:style>
  <w:style w:customStyle="1" w:styleId="AbstractTitle" w:type="paragraph">
    <w:name w:val="Abstract Title"/>
    <w:basedOn w:val="Normal"/>
    <w:next w:val="Abstract"/>
    <w:qFormat/>
    <w:pPr>
      <w:keepNext/>
      <w:keepLines/>
      <w:jc w:val="both"/>
      <w:spacing w:after="0" w:before="300" w:line="360" w:lineRule="auto"/>
    </w:pPr>
    <w:rPr>
      <w:color w:val="000000"/>
      <w:sz w:val="26"/>
      <w:szCs w:val="20"/>
      <w:rFonts w:ascii="Times New Roman" w:eastAsia="Times New Roman" w:hAnsi="Times New Roman"/>
      <w:b/>
    </w:rPr>
  </w:style>
  <w:style w:customStyle="1" w:styleId="Abstract" w:type="paragraph">
    <w:name w:val="Abstract"/>
    <w:basedOn w:val="Normal"/>
    <w:next w:val="BodyText"/>
    <w:qFormat/>
    <w:pPr>
      <w:keepNext/>
      <w:keepLines/>
      <w:spacing w:after="300" w:before="100" w:line="360" w:lineRule="auto"/>
      <w:jc w:val="both"/>
    </w:pPr>
    <w:rPr>
      <w:rFonts w:ascii="Times New Roman" w:eastAsia="Times New Roman" w:hAnsi="Times New Roman"/>
      <w:color w:val="000000"/>
      <w:sz w:val="26"/>
      <w:szCs w:val="20"/>
    </w:rPr>
  </w:style>
  <w:style w:styleId="Bibliography" w:type="paragraph">
    <w:name w:val="Bibliography"/>
    <w:basedOn w:val="Normal"/>
    <w:next w:val="Bibliography"/>
    <w:qFormat/>
    <w:pPr>
      <w:spacing w:line="360" w:lineRule="auto"/>
      <w:jc w:val="both"/>
    </w:pPr>
    <w:rPr>
      <w:rFonts w:ascii="Times New Roman" w:eastAsia="Times New Roman" w:hAnsi="Times New Roman"/>
      <w:color w:val="000000"/>
      <w:sz w:val="26"/>
    </w:rPr>
  </w:style>
  <w:style w:styleId="Heading1" w:type="paragraph">
    <w:name w:val="Heading 1"/>
    <w:basedOn w:val="Normal"/>
    <w:next w:val="BodyText"/>
    <w:uiPriority w:val="9"/>
    <w:qFormat/>
    <w:pPr>
      <w:keepNext/>
      <w:keepLines/>
      <w:spacing w:after="0" w:before="480" w:line="360" w:lineRule="auto"/>
      <w:jc w:val="both"/>
      <w:outlineLvl w:val="0"/>
    </w:pPr>
    <w:rPr>
      <w:rFonts w:ascii="Times New Roman" w:asciiTheme="majorHAnsi" w:cstheme="majorBidi" w:eastAsia="Times New Roman" w:eastAsiaTheme="majorEastAsia" w:hAnsi="Times New Roman" w:hAnsiTheme="majorHAnsi"/>
      <w:b/>
      <w:bCs/>
      <w:color w:val="000000"/>
      <w:sz w:val="26"/>
      <w:szCs w:val="32"/>
    </w:rPr>
  </w:style>
  <w:style w:styleId="Heading2" w:type="paragraph">
    <w:name w:val="Heading 2"/>
    <w:basedOn w:val="Normal"/>
    <w:next w:val="BodyText"/>
    <w:uiPriority w:val="9"/>
    <w:unhideWhenUsed/>
    <w:qFormat/>
    <w:pPr>
      <w:keepNext/>
      <w:keepLines/>
      <w:spacing w:after="0" w:before="200" w:line="360" w:lineRule="auto"/>
      <w:jc w:val="both"/>
      <w:outlineLvl w:val="1"/>
    </w:pPr>
    <w:rPr>
      <w:rFonts w:ascii="Times New Roman" w:asciiTheme="majorHAnsi" w:cstheme="majorBidi" w:eastAsia="Times New Roman" w:eastAsiaTheme="majorEastAsia" w:hAnsi="Times New Roman" w:hAnsiTheme="majorHAnsi"/>
      <w:b/>
      <w:bCs/>
      <w:color w:val="000000"/>
      <w:sz w:val="26"/>
      <w:szCs w:val="28"/>
    </w:rPr>
  </w:style>
  <w:style w:styleId="Heading3" w:type="paragraph">
    <w:name w:val="Heading 3"/>
    <w:basedOn w:val="Normal"/>
    <w:next w:val="BodyText"/>
    <w:uiPriority w:val="9"/>
    <w:unhideWhenUsed/>
    <w:qFormat/>
    <w:pPr>
      <w:keepNext/>
      <w:keepLines/>
      <w:spacing w:after="0" w:before="200" w:line="360" w:lineRule="auto"/>
      <w:jc w:val="both"/>
      <w:outlineLvl w:val="2"/>
    </w:pPr>
    <w:rPr>
      <w:rFonts w:ascii="Times New Roman" w:asciiTheme="majorHAnsi" w:cstheme="majorBidi" w:eastAsia="Times New Roman" w:eastAsiaTheme="majorEastAsia" w:hAnsi="Times New Roman" w:hAnsiTheme="majorHAnsi"/>
      <w:b/>
      <w:bCs/>
      <w:color w:val="000000"/>
      <w:sz w:val="26"/>
      <w:szCs w:val="24"/>
    </w:rPr>
  </w:style>
  <w:style w:styleId="Heading4" w:type="paragraph">
    <w:name w:val="Heading 4"/>
    <w:basedOn w:val="Normal"/>
    <w:next w:val="BodyText"/>
    <w:uiPriority w:val="9"/>
    <w:unhideWhenUsed/>
    <w:qFormat/>
    <w:pPr>
      <w:keepNext/>
      <w:keepLines/>
      <w:spacing w:after="0" w:before="200" w:line="360" w:lineRule="auto"/>
      <w:jc w:val="both"/>
      <w:outlineLvl w:val="3"/>
    </w:pPr>
    <w:rPr>
      <w:rFonts w:ascii="Times New Roman" w:asciiTheme="majorHAnsi" w:cstheme="majorBidi" w:eastAsia="Times New Roman" w:eastAsiaTheme="majorEastAsia" w:hAnsi="Times New Roman" w:hAnsiTheme="majorHAnsi"/>
      <w:i/>
      <w:bCs/>
      <w:color w:val="000000"/>
      <w:sz w:val="26"/>
      <w:szCs w:val="24"/>
    </w:rPr>
  </w:style>
  <w:style w:styleId="Heading5" w:type="paragraph">
    <w:name w:val="Heading 5"/>
    <w:basedOn w:val="Normal"/>
    <w:next w:val="BodyText"/>
    <w:uiPriority w:val="9"/>
    <w:unhideWhenUsed/>
    <w:qFormat/>
    <w:pPr>
      <w:keepNext/>
      <w:keepLines/>
      <w:spacing w:after="0" w:before="200" w:line="360" w:lineRule="auto"/>
      <w:jc w:val="both"/>
      <w:outlineLvl w:val="4"/>
    </w:pPr>
    <w:rPr>
      <w:rFonts w:ascii="Times New Roman" w:asciiTheme="majorHAnsi" w:cstheme="majorBidi" w:eastAsia="Times New Roman" w:eastAsiaTheme="majorEastAsia" w:hAnsi="Times New Roman" w:hAnsiTheme="majorHAnsi"/>
      <w:iCs/>
      <w:color w:val="000000"/>
      <w:sz w:val="26"/>
      <w:szCs w:val="24"/>
    </w:rPr>
  </w:style>
  <w:style w:styleId="Heading6" w:type="paragraph">
    <w:name w:val="Heading 6"/>
    <w:basedOn w:val="Normal"/>
    <w:next w:val="BodyText"/>
    <w:uiPriority w:val="9"/>
    <w:unhideWhenUsed/>
    <w:qFormat/>
    <w:pPr>
      <w:keepNext/>
      <w:keepLines/>
      <w:spacing w:after="0" w:before="200" w:line="360" w:lineRule="auto"/>
      <w:jc w:val="both"/>
      <w:outlineLvl w:val="5"/>
    </w:pPr>
    <w:rPr>
      <w:rFonts w:ascii="Times New Roman" w:asciiTheme="majorHAnsi" w:cstheme="majorBidi" w:eastAsia="Times New Roman" w:eastAsiaTheme="majorEastAsia" w:hAnsi="Times New Roman" w:hAnsiTheme="majorHAnsi"/>
      <w:color w:val="000000"/>
      <w:sz w:val="26"/>
      <w:szCs w:val="24"/>
    </w:rPr>
  </w:style>
  <w:style w:styleId="Heading7" w:type="paragraph">
    <w:name w:val="Heading 7"/>
    <w:basedOn w:val="Normal"/>
    <w:next w:val="BodyText"/>
    <w:uiPriority w:val="9"/>
    <w:unhideWhenUsed/>
    <w:qFormat/>
    <w:pPr>
      <w:keepNext/>
      <w:keepLines/>
      <w:spacing w:after="0" w:before="200" w:line="360" w:lineRule="auto"/>
      <w:jc w:val="both"/>
      <w:outlineLvl w:val="6"/>
    </w:pPr>
    <w:rPr>
      <w:rFonts w:ascii="Times New Roman" w:asciiTheme="majorHAnsi" w:cstheme="majorBidi" w:eastAsia="Times New Roman" w:eastAsiaTheme="majorEastAsia" w:hAnsi="Times New Roman" w:hAnsiTheme="majorHAnsi"/>
      <w:color w:val="000000"/>
      <w:sz w:val="26"/>
      <w:szCs w:val="24"/>
    </w:rPr>
  </w:style>
  <w:style w:styleId="Heading8" w:type="paragraph">
    <w:name w:val="Heading 8"/>
    <w:basedOn w:val="Normal"/>
    <w:next w:val="BodyText"/>
    <w:uiPriority w:val="9"/>
    <w:unhideWhenUsed/>
    <w:qFormat/>
    <w:pPr>
      <w:keepNext/>
      <w:keepLines/>
      <w:spacing w:after="0" w:before="200" w:line="360" w:lineRule="auto"/>
      <w:jc w:val="both"/>
      <w:outlineLvl w:val="7"/>
    </w:pPr>
    <w:rPr>
      <w:rFonts w:ascii="Times New Roman" w:asciiTheme="majorHAnsi" w:cstheme="majorBidi" w:eastAsia="Times New Roman" w:eastAsiaTheme="majorEastAsia" w:hAnsi="Times New Roman" w:hAnsiTheme="majorHAnsi"/>
      <w:color w:val="000000"/>
      <w:sz w:val="26"/>
      <w:szCs w:val="24"/>
    </w:rPr>
  </w:style>
  <w:style w:styleId="Heading9" w:type="paragraph">
    <w:name w:val="Heading 9"/>
    <w:basedOn w:val="Normal"/>
    <w:next w:val="BodyText"/>
    <w:uiPriority w:val="9"/>
    <w:unhideWhenUsed/>
    <w:qFormat/>
    <w:pPr>
      <w:keepNext/>
      <w:keepLines/>
      <w:spacing w:after="0" w:before="200" w:line="360" w:lineRule="auto"/>
      <w:jc w:val="both"/>
      <w:outlineLvl w:val="8"/>
    </w:pPr>
    <w:rPr>
      <w:rFonts w:ascii="Times New Roman" w:asciiTheme="majorHAnsi" w:cstheme="majorBidi" w:eastAsia="Times New Roman" w:eastAsiaTheme="majorEastAsia" w:hAnsi="Times New Roman" w:hAnsiTheme="majorHAnsi"/>
      <w:color w:val="000000"/>
      <w:sz w:val="26"/>
      <w:szCs w:val="24"/>
    </w:rPr>
  </w:style>
  <w:style w:styleId="BlockText" w:type="paragraph">
    <w:name w:val="Block Text"/>
    <w:basedOn w:val="BodyText"/>
    <w:next w:val="BodyText"/>
    <w:uiPriority w:val="9"/>
    <w:unhideWhenUsed/>
    <w:qFormat/>
    <w:pPr>
      <w:spacing w:after="100" w:before="100" w:line="360" w:lineRule="auto"/>
      <w:ind w:firstLine="0" w:left="480" w:right="480"/>
      <w:jc w:val="both"/>
    </w:pPr>
    <w:rPr>
      <w:rFonts w:ascii="Times New Roman" w:eastAsia="Times New Roman" w:hAnsi="Times New Roman"/>
      <w:color w:val="000000"/>
      <w:sz w:val="26"/>
    </w:rPr>
  </w:style>
  <w:style w:styleId="FootnoteText" w:type="paragraph">
    <w:name w:val="Footnote Text"/>
    <w:basedOn w:val="Normal"/>
    <w:next w:val="FootnoteText"/>
    <w:uiPriority w:val="9"/>
    <w:unhideWhenUsed/>
    <w:qFormat/>
    <w:pPr>
      <w:spacing w:line="360" w:lineRule="auto"/>
      <w:jc w:val="both"/>
    </w:pPr>
    <w:rPr>
      <w:rFonts w:ascii="Times New Roman" w:eastAsia="Times New Roman" w:hAnsi="Times New Roman"/>
      <w:color w:val="000000"/>
      <w:sz w:val="26"/>
    </w:rPr>
  </w:style>
  <w:style w:default="1" w:styleId="DefaultParagraphFont" w:type="character">
    <w:name w:val="Default Paragraph Font"/>
    <w:semiHidden/>
    <w:unhideWhenUsed/>
    <w:rPr>
      <w:rFonts w:ascii="Times New Roman" w:eastAsia="Times New Roman" w:hAnsi="Times New Roman"/>
      <w:color w:val="000000"/>
      <w:sz w:val="26"/>
    </w:rPr>
  </w:style>
  <w:style w:default="1" w:styleId="Table" w:type="table">
    <w:name w:val="Table"/>
    <w:basedOn w:val="TableNormal"/>
    <w:semiHidden/>
    <w:unhideWhenUsed/>
    <w:qFormat/>
    <w:pPr>
      <w:spacing w:line="360" w:lineRule="auto"/>
      <w:jc w:val="both"/>
    </w:pPr>
    <w:rPr>
      <w:rFonts w:ascii="Times New Roman" w:eastAsia="Times New Roman" w:hAnsi="Times New Roman"/>
      <w:color w:val="000000"/>
      <w:sz w:val="26"/>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line="360" w:lineRule="auto"/>
      <w:jc w:val="both"/>
    </w:pPr>
    <w:rPr>
      <w:rFonts w:ascii="Times New Roman" w:eastAsia="Times New Roman" w:hAnsi="Times New Roman"/>
      <w:b/>
      <w:color w:val="000000"/>
      <w:sz w:val="26"/>
    </w:rPr>
  </w:style>
  <w:style w:customStyle="1" w:styleId="Definition" w:type="paragraph">
    <w:name w:val="Definition"/>
    <w:basedOn w:val="Normal"/>
    <w:pPr>
      <w:spacing w:line="360" w:lineRule="auto"/>
      <w:jc w:val="both"/>
    </w:pPr>
    <w:rPr>
      <w:rFonts w:ascii="Times New Roman" w:eastAsia="Times New Roman" w:hAnsi="Times New Roman"/>
      <w:color w:val="000000"/>
      <w:sz w:val="26"/>
    </w:rPr>
  </w:style>
  <w:style w:styleId="Caption" w:type="paragraph">
    <w:name w:val="Caption"/>
    <w:basedOn w:val="Normal"/>
    <w:link w:val="BodyTextChar"/>
    <w:pPr>
      <w:spacing w:after="120" w:before="0" w:line="360" w:lineRule="auto"/>
      <w:jc w:val="both"/>
    </w:pPr>
    <w:rPr>
      <w:rFonts w:ascii="Times New Roman" w:eastAsia="Times New Roman" w:hAnsi="Times New Roman"/>
      <w:i/>
      <w:color w:val="000000"/>
      <w:sz w:val="26"/>
    </w:rPr>
  </w:style>
  <w:style w:customStyle="1" w:styleId="TableCaption" w:type="paragraph">
    <w:name w:val="Table Caption"/>
    <w:basedOn w:val="Caption"/>
    <w:pPr>
      <w:keepNext/>
      <w:spacing w:line="360" w:lineRule="auto"/>
      <w:jc w:val="both"/>
    </w:pPr>
    <w:rPr>
      <w:rFonts w:ascii="Times New Roman" w:eastAsia="Times New Roman" w:hAnsi="Times New Roman"/>
      <w:color w:val="000000"/>
      <w:sz w:val="26"/>
    </w:rPr>
  </w:style>
  <w:style w:customStyle="1" w:styleId="ImageCaption" w:type="paragraph">
    <w:name w:val="Image Caption"/>
    <w:basedOn w:val="Caption"/>
    <w:pPr>
      <w:spacing w:line="360" w:lineRule="auto"/>
      <w:jc w:val="both"/>
    </w:pPr>
    <w:rPr>
      <w:rFonts w:ascii="Times New Roman" w:eastAsia="Times New Roman" w:hAnsi="Times New Roman"/>
      <w:color w:val="000000"/>
      <w:sz w:val="26"/>
    </w:rPr>
  </w:style>
  <w:style w:customStyle="1" w:styleId="Figure" w:type="paragraph">
    <w:name w:val="Figure"/>
    <w:basedOn w:val="Normal"/>
    <w:pPr>
      <w:spacing w:line="360" w:lineRule="auto"/>
      <w:jc w:val="both"/>
    </w:pPr>
    <w:rPr>
      <w:rFonts w:ascii="Times New Roman" w:eastAsia="Times New Roman" w:hAnsi="Times New Roman"/>
      <w:color w:val="000000"/>
      <w:sz w:val="26"/>
    </w:rPr>
  </w:style>
  <w:style w:customStyle="1" w:styleId="CaptionedFigure" w:type="paragraph">
    <w:name w:val="Captioned Figure"/>
    <w:basedOn w:val="Figure"/>
    <w:pPr>
      <w:keepNext/>
      <w:spacing w:line="360" w:lineRule="auto"/>
      <w:jc w:val="both"/>
    </w:pPr>
    <w:rPr>
      <w:rFonts w:ascii="Times New Roman" w:eastAsia="Times New Roman" w:hAnsi="Times New Roman"/>
      <w:color w:val="000000"/>
      <w:sz w:val="26"/>
    </w:rPr>
  </w:style>
  <w:style w:customStyle="1" w:styleId="BodyTextChar" w:type="character">
    <w:name w:val="Body Text Char"/>
    <w:basedOn w:val="DefaultParagraphFont"/>
    <w:link w:val="BodyText"/>
    <w:rPr>
      <w:rFonts w:ascii="Times New Roman" w:eastAsia="Times New Roman" w:hAnsi="Times New Roman"/>
      <w:color w:val="000000"/>
      <w:sz w:val="26"/>
    </w:rPr>
  </w:style>
  <w:style w:customStyle="1" w:styleId="VerbatimChar" w:type="character">
    <w:name w:val="Verbatim Char"/>
    <w:basedOn w:val="BodyTextChar"/>
    <w:rPr>
      <w:rFonts w:ascii="Times New Roman" w:eastAsia="Times New Roman" w:hAnsi="Times New Roman"/>
      <w:color w:val="000000"/>
      <w:sz w:val="26"/>
    </w:rPr>
  </w:style>
  <w:style w:customStyle="1" w:styleId="SectionNumber" w:type="character">
    <w:name w:val="Section Number"/>
    <w:basedOn w:val="BodyTextChar"/>
    <w:rPr>
      <w:rFonts w:ascii="Times New Roman" w:eastAsia="Times New Roman" w:hAnsi="Times New Roman"/>
      <w:color w:val="000000"/>
      <w:sz w:val="26"/>
    </w:rPr>
  </w:style>
  <w:style w:styleId="FootnoteReference" w:type="character">
    <w:name w:val="Footnote Reference"/>
    <w:basedOn w:val="BodyTextChar"/>
    <w:rPr>
      <w:rFonts w:ascii="Times New Roman" w:eastAsia="Times New Roman" w:hAnsi="Times New Roman"/>
      <w:color w:val="000000"/>
      <w:sz w:val="26"/>
      <w:vertAlign w:val="superscript"/>
    </w:rPr>
  </w:style>
  <w:style w:styleId="Hyperlink" w:type="character">
    <w:name w:val="Hyperlink"/>
    <w:basedOn w:val="BodyTextChar"/>
    <w:rPr>
      <w:rFonts w:ascii="Times New Roman" w:eastAsia="Times New Roman" w:hAnsi="Times New Roman"/>
      <w:color w:val="000000"/>
      <w:sz w:val="26"/>
    </w:rPr>
  </w:style>
  <w:style w:styleId="TOCHeading" w:type="paragraph">
    <w:name w:val="TOC Heading"/>
    <w:basedOn w:val="Heading1"/>
    <w:next w:val="BodyText"/>
    <w:uiPriority w:val="39"/>
    <w:unhideWhenUsed/>
    <w:qFormat/>
    <w:pPr>
      <w:spacing w:before="240" w:line="360" w:lineRule="auto"/>
      <w:jc w:val="both"/>
      <w:outlineLvl w:val="9"/>
    </w:pPr>
    <w:rPr>
      <w:rFonts w:ascii="Times New Roman" w:asciiTheme="majorHAnsi" w:cstheme="majorBidi" w:eastAsia="Times New Roman" w:eastAsiaTheme="majorEastAsia" w:hAnsi="Times New Roman" w:hAnsiTheme="majorHAnsi"/>
      <w:b w:val="0"/>
      <w:bCs w:val="0"/>
      <w:color w:val="000000"/>
      <w:sz w:val="26"/>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2026-05-25T09:18:12Z</dcterms:created>
  <dcterms:modified xsi:type="dcterms:W3CDTF">2026-05-25T09:18:12Z</dcterms:modified>
</cp:coreProperties>
</file>

<file path=docProps/custom.xml><?xml version="1.0" encoding="utf-8"?>
<Properties xmlns="http://schemas.openxmlformats.org/officeDocument/2006/custom-properties" xmlns:vt="http://schemas.openxmlformats.org/officeDocument/2006/docPropsVTypes"/>
</file>