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Khoa Kinh tế, Đại học Cần Thơ, huongp1323001@gstudent.ctu.edu.vn, ORCID:</w:t>
      </w:r>
      <w:r>
        <w:t xml:space="preserve"> </w:t>
      </w:r>
      <w:hyperlink r:id="rId20">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Khoa Kinh tế, Đại học Cần Thơ, patu@ctu.edu.vn, ORCID:</w:t>
      </w:r>
      <w:r>
        <w:t xml:space="preserve"> </w:t>
      </w:r>
      <w:hyperlink r:id="rId21">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các nghiên cứu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3"/>
    <w:bookmarkStart w:id="24" w:name="giới-thiệu"/>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các nghiên cứu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4"/>
    <w:bookmarkStart w:id="31" w:name="lý-thuyết-và-giả-thuyết"/>
    <w:p>
      <w:pPr>
        <w:pStyle w:val="Heading2"/>
      </w:pPr>
      <w:r>
        <w:t xml:space="preserve">2. Lý thuyết và giả thuyết</w:t>
      </w:r>
    </w:p>
    <w:bookmarkStart w:id="25" w:name="mối-quan-hệ-ip-hình-chữ-u-ngược"/>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xuất khẩu vượt qua điểm tối ưu chi phí-lợi ích.</w:t>
      </w:r>
    </w:p>
    <w:bookmarkEnd w:id="25"/>
    <w:bookmarkStart w:id="26" w:name="ổn-định-theo-thời-gian-của-độ-cong-ip"/>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w:t>
      </w:r>
      <w:r>
        <w:t xml:space="preserve"> </w:t>
      </w:r>
      <w:r>
        <w:t xml:space="preserve">“</w:t>
      </w:r>
      <w:r>
        <w:t xml:space="preserve">đặc thù theo đợt</w:t>
      </w:r>
      <w:r>
        <w:t xml:space="preserve">”</w:t>
      </w:r>
      <w:r>
        <w:t xml:space="preserve"> </w:t>
      </w:r>
      <w:r>
        <w:t xml:space="preserve">(H2a).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6"/>
    <w:bookmarkStart w:id="30" w:name="năng-lực-công-nghệ-là-biến-điều-tiết"/>
    <w:p>
      <w:pPr>
        <w:pStyle w:val="Heading3"/>
      </w:pPr>
      <w:r>
        <w:t xml:space="preserve">2.3 Năng lực công nghệ là biến điều tiết</w:t>
      </w:r>
    </w:p>
    <w:p>
      <w:pPr>
        <w:pStyle w:val="FirstParagraph"/>
      </w:pPr>
      <w:r>
        <w:t xml:space="preserve">Lý thuyết năng lực động (Teece, 2007) và các nghiên cứu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CaptionedFigure"/>
      </w:pPr>
      <w:r>
        <w:drawing>
          <wp:inline>
            <wp:extent cx="5753100" cy="3764110"/>
            <wp:effectExtent b="0" l="0" r="0" t="0"/>
            <wp:docPr descr="Hình 1: Mô hình khái niệm"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Hình 1: Mô hình khái niệm</w:t>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0"/>
    <w:bookmarkEnd w:id="31"/>
    <w:bookmarkStart w:id="35" w:name="dữ-liệu-và-phương-pháp"/>
    <w:p>
      <w:pPr>
        <w:pStyle w:val="Heading2"/>
      </w:pPr>
      <w:r>
        <w:t xml:space="preserve">3. Dữ liệu và phương pháp</w:t>
      </w:r>
    </w:p>
    <w:bookmarkStart w:id="32" w:name="dữ-liệu"/>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2"/>
    <w:bookmarkStart w:id="33" w:name="biến-số"/>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3"/>
    <w:bookmarkStart w:id="34" w:name="chiến-lược-ước-lượng"/>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4"/>
    <w:bookmarkEnd w:id="35"/>
    <w:bookmarkStart w:id="51" w:name="kết-quả"/>
    <w:p>
      <w:pPr>
        <w:pStyle w:val="Heading2"/>
      </w:pPr>
      <w:r>
        <w:t xml:space="preserve">4. Kết quả</w:t>
      </w:r>
    </w:p>
    <w:bookmarkStart w:id="36" w:name="thống-kê-mô-tả"/>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6"/>
    <w:bookmarkStart w:id="40" w:name="kết-quả-ngưỡng-chính"/>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CaptionedFigure"/>
      </w:pPr>
      <w:r>
        <w:drawing>
          <wp:inline>
            <wp:extent cx="5753100" cy="3010157"/>
            <wp:effectExtent b="0" l="0" r="0" t="0"/>
            <wp:docPr descr="Hình 2: Ước lượng điểm ngưỡng với KTC 95% theo đợt (Trung Quốc)"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Hình 2: Ước lượng điểm ngưỡng với KTC 95% theo đợt (Trung Quốc)</w:t>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0"/>
    <w:bookmarkStart w:id="44" w:name="đường-cong-ip-dự-báo"/>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CaptionedFigure"/>
      </w:pPr>
      <w:r>
        <w:drawing>
          <wp:inline>
            <wp:extent cx="5753100" cy="3330862"/>
            <wp:effectExtent b="0" l="0" r="0" t="0"/>
            <wp:docPr descr="Hình 3: Đường cong I–P dự báo theo đợt (Trung Quốc)"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Hình 3: Đường cong I–P dự báo theo đợt (Trung Quốc)</w:t>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4"/>
    <w:bookmarkStart w:id="48" w:name="điều-tiết-theo-năng-lực"/>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CaptionedFigure"/>
      </w:pPr>
      <w:r>
        <w:drawing>
          <wp:inline>
            <wp:extent cx="5753100" cy="2591800"/>
            <wp:effectExtent b="0" l="0" r="0" t="0"/>
            <wp:docPr descr="Hình 4: Hệ số hiệu ứng trực tiếp TCI và DAI theo đợt (Trung Quốc, OLS chuẩn hóa)"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Hình 4: Hệ số hiệu ứng trực tiếp TCI và DAI theo đợt (Trung Quốc, OLS chuẩn hóa)</w:t>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48"/>
    <w:bookmarkStart w:id="49" w:name="phân-tích-cơ-chế-áp-dụng-số"/>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w:t>
      </w:r>
      <w:r>
        <w:t xml:space="preserve"> </w:t>
      </w:r>
      <w:r>
        <w:t xml:space="preserve">“</w:t>
      </w:r>
      <w:r>
        <w:t xml:space="preserve">phác thảo cơ chế mô tả</w:t>
      </w:r>
      <w:r>
        <w:t xml:space="preserve">”</w:t>
      </w:r>
      <w:r>
        <w:t xml:space="preserve"> </w:t>
      </w:r>
      <w:r>
        <w:t xml:space="preserve">thay vì tuyên bố nhận dạng nhân quả (Antonakis et al., 2010; Shaver, 2020).</w:t>
      </w:r>
    </w:p>
    <w:bookmarkEnd w:id="49"/>
    <w:bookmarkStart w:id="50" w:name="kiểm-định-vững"/>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0"/>
    <w:bookmarkEnd w:id="51"/>
    <w:bookmarkStart w:id="57" w:name="thảo-luận"/>
    <w:p>
      <w:pPr>
        <w:pStyle w:val="Heading2"/>
      </w:pPr>
      <w:r>
        <w:t xml:space="preserve">5. Thảo luận</w:t>
      </w:r>
    </w:p>
    <w:bookmarkStart w:id="52" w:name="ổn-định-theo-thời-gian-của-ngưỡng-ip"/>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2"/>
    <w:bookmarkStart w:id="53" w:name="X0d938a0dd12f58baa083573977fa774bc598f04"/>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w:t>
      </w:r>
      <w:r>
        <w:t xml:space="preserve"> </w:t>
      </w:r>
      <w:r>
        <w:t xml:space="preserve">“</w:t>
      </w:r>
      <w:r>
        <w:t xml:space="preserve">dịch chuyển mức nền</w:t>
      </w:r>
      <w:r>
        <w:t xml:space="preserve">”</w:t>
      </w:r>
      <w:r>
        <w:t xml:space="preserve">: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3"/>
    <w:bookmarkStart w:id="54" w:name="áp-dụng-số-như-kiểm-soát-nền"/>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4"/>
    <w:bookmarkStart w:id="55" w:name="hạn-chế"/>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5"/>
    <w:bookmarkStart w:id="56" w:name="nghiên-cứu-tương-lai"/>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6"/>
    <w:bookmarkEnd w:id="57"/>
    <w:bookmarkStart w:id="58" w:name="kết-luận"/>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58"/>
    <w:bookmarkStart w:id="59" w:name="lời-cảm-ơn"/>
    <w:p>
      <w:pPr>
        <w:pStyle w:val="Heading2"/>
      </w:pPr>
      <w:r>
        <w:t xml:space="preserve">Lời cảm ơn</w:t>
      </w:r>
    </w:p>
    <w:p>
      <w:pPr>
        <w:pStyle w:val="FirstParagraph"/>
      </w:pPr>
      <w:r>
        <w:t xml:space="preserve">Nguồn: Khảo sát Doanh nghiệp Ngân hàng Thế giới, www.enterprisesurveys.org.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59"/>
    <w:bookmarkStart w:id="60"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 https://www.enterprisesurveys.org. Mã xây dựng biến và tập dữ liệu đã xử lý có sẵn từ tác giả liên hệ theo yêu cầu hợp lý.</w:t>
      </w:r>
    </w:p>
    <w:bookmarkEnd w:id="60"/>
    <w:bookmarkStart w:id="61"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các nghiên cứu, phân tích dữ liệu hay tạo nội dung bản thảo.</w:t>
      </w:r>
    </w:p>
    <w:p>
      <w:r>
        <w:pict>
          <v:rect style="width:0;height:1.5pt" o:hralign="center" o:hrstd="t" o:hr="t"/>
        </w:pict>
      </w:r>
    </w:p>
    <w:bookmarkEnd w:id="61"/>
    <w:bookmarkStart w:id="6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2026-05-25T09:22:03Z</dcterms:created>
  <dcterms:modified xsi:type="dcterms:W3CDTF">2026-05-25T09:22:03Z</dcterms:modified>
</cp:coreProperties>
</file>

<file path=docProps/custom.xml><?xml version="1.0" encoding="utf-8"?>
<Properties xmlns="http://schemas.openxmlformats.org/officeDocument/2006/custom-properties" xmlns:vt="http://schemas.openxmlformats.org/officeDocument/2006/docPropsVTypes"/>
</file>