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r>
        <w:t xml:space="preserve"> </w:t>
      </w: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p>
    <w:p>
      <w:pPr>
        <w:pStyle w:val="BodyText"/>
      </w:pPr>
      <w:r>
        <w:t xml:space="preserve"> </w:t>
      </w:r>
      <w:r>
        <w:t xml:space="preserve"> </w:t>
      </w:r>
      <w:r>
        <w:t xml:space="preserve"> </w:t>
      </w:r>
    </w:p>
    <w:p>
      <w:pPr>
        <w:pStyle w:val="BodyText"/>
      </w:pPr>
      <w:r>
        <w:t xml:space="preserve">CẦN THƠ, NĂM 2026</w:t>
      </w:r>
    </w:p>
    <w:p>
      <w:pPr>
        <w:pStyle w:val="BodyText"/>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r>
        <w:t xml:space="preserve"> </w:t>
      </w:r>
      <w:r>
        <w:t xml:space="preserve">MÃ NGÀNH: 9340101</w:t>
      </w:r>
    </w:p>
    <w:p>
      <w:pPr>
        <w:pStyle w:val="BodyText"/>
      </w:pPr>
      <w:r>
        <w:t xml:space="preserve"> </w:t>
      </w:r>
      <w:r>
        <w:t xml:space="preserve"> </w:t>
      </w:r>
      <w:r>
        <w:t xml:space="preserve"> </w:t>
      </w:r>
    </w:p>
    <w:p>
      <w:pPr>
        <w:pStyle w:val="BodyText"/>
      </w:pPr>
      <w:r>
        <w:rPr>
          <w:bCs/>
          <w:b/>
        </w:rPr>
        <w:t xml:space="preserve">NGƯỜI HƯỚNG DẪN KHOA HỌC</w:t>
      </w:r>
      <w:r>
        <w:t xml:space="preserve"> </w:t>
      </w:r>
      <w:r>
        <w:t xml:space="preserve">PGS.TS. PHAN ANH TÚ</w:t>
      </w:r>
    </w:p>
    <w:p>
      <w:pPr>
        <w:pStyle w:val="BodyText"/>
      </w:pPr>
      <w:r>
        <w:t xml:space="preserve"> </w:t>
      </w:r>
      <w:r>
        <w:t xml:space="preserve"> </w:t>
      </w:r>
      <w:r>
        <w:t xml:space="preserve"> </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0"/>
    <w:bookmarkStart w:id="21"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3"/>
    <w:bookmarkStart w:id="24"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5"/>
    <w:bookmarkStart w:id="26"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6"/>
    <w:bookmarkStart w:id="27"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7"/>
    <w:bookmarkStart w:id="28"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8"/>
    <w:bookmarkStart w:id="29" w:name="chương-1-giới-thiệu"/>
    <w:p>
      <w:pPr>
        <w:pStyle w:val="Heading1"/>
      </w:pPr>
      <w:r>
        <w:t xml:space="preserve">CHƯƠNG 1: GIỚI THIỆU</w:t>
      </w:r>
    </w:p>
    <w:bookmarkEnd w:id="29"/>
    <w:p>
      <w:r>
        <w:pict>
          <v:rect style="width:0;height:1.5pt" o:hralign="center" o:hrstd="t" o:hr="t"/>
        </w:pict>
      </w:r>
    </w:p>
    <w:bookmarkStart w:id="3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0"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0"/>
    <w:bookmarkStart w:id="31"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1"/>
    <w:bookmarkEnd w:id="32"/>
    <w:bookmarkStart w:id="3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RBV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văn liệu hiện hành thiếu một cấu trúc giải thích đủ phân tầng để nắm bắt mức dị biệt cao của quan hệ I–P.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I–P. Đúng các địa điểm cực trị về thể chế, nơi điều kiện biên dễ bộc lộ nhất, lại là nơi văn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hỗn hợp tổng hợp–thực nghiệm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I–P.</w:t>
      </w:r>
    </w:p>
    <w:p>
      <w:r>
        <w:pict>
          <v:rect style="width:0;height:1.5pt" o:hralign="center" o:hrstd="t" o:hr="t"/>
        </w:pict>
      </w:r>
    </w:p>
    <w:bookmarkEnd w:id="33"/>
    <w:bookmarkStart w:id="3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dị biệt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4"/>
    <w:bookmarkStart w:id="3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5"/>
    <w:bookmarkStart w:id="40" w:name="đối-tượng-và-phạm-vi-nghiên-cứu"/>
    <w:p>
      <w:pPr>
        <w:pStyle w:val="Heading2"/>
      </w:pPr>
      <w:r>
        <w:t xml:space="preserve">1.5 Đối tượng và phạm vi nghiên cứu</w:t>
      </w:r>
    </w:p>
    <w:bookmarkStart w:id="3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6"/>
    <w:bookmarkStart w:id="3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7"/>
    <w:bookmarkStart w:id="38"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8"/>
    <w:bookmarkStart w:id="39"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điều tiết, cùng với hiệu ứng cố định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RBV, lý thuyết thể chế, Lý thuyết thượng tầng quản trị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I–P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mô hình Uppsala, Resource-Based View, lý thuyết thể chế và Lý thuyết thượng tầng quản trị,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I–P.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I–P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I–P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I–P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văn liệu kinh doanh quốc tế chuyển luận điểm</w:t>
      </w:r>
      <w:r>
        <w:t xml:space="preserve"> </w:t>
      </w:r>
      <w:r>
        <w:t xml:space="preserve">“</w:t>
      </w:r>
      <w:r>
        <w:t xml:space="preserve">quan hệ I–P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Đối với các doanh nghiệp ở những nền kinh tế chuyển đổi và mới nổi tại châu Á, cơ chế học hỏi trải nghiệm có hàm ý trực tiếp với hình dạng phi tuyến của quan hệ I–P: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RBV (Barney, 1991). Phân tầng này giải thích vì sao luận án dự báo hai cấu trúc số vận hành qua hai cơ chế khác nhau trong quan hệ I–P, thay vì giả định một hiệu ứng đồng nhất.</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I–P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văn liệu I–P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văn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quy mô hiệu ứng tập trung vào các thị trường mới nổi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p>
      <w:pPr>
        <w:pStyle w:val="BodyText"/>
      </w:pPr>
      <w:r>
        <w:t xml:space="preserve">Giá trị của bằng chứng meta-analytic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meta-analysis nên được ưu tiên hơn so với đếm phiếu, vì meta-analysis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meta-analysis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meta-analytic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đa quốc gia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bậc ba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p>
      <w:pPr>
        <w:pStyle w:val="BodyText"/>
      </w:pPr>
      <w:r>
        <w:t xml:space="preserve">Văn liệu về quan hệ I–P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I–P, song nghiên cứu này, giống như đa số văn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I–P relationship.</w:t>
      </w:r>
      <w:r>
        <w:t xml:space="preserve"> </w:t>
      </w:r>
      <w:r>
        <w:t xml:space="preserve">Các meta-analyses nhất quán cho thấy I² &gt; 80%, tức hơn 80% biến thiên trong quy mô hiệu ứng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cơ sở lớn nhất hiện có trong văn liệu về châu Á, nhưng vẫn chưa bao gồm các nền kinh tế frontier và SIDS, những địa điểm cực kỳ quan trọng để kiểm định điều kiện biên.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dị biệt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hiệu ứng cố định.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điều kiện biên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khoảng trống thể chế,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cấu trúc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cơ sở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gộp effect size theo random-effects, kiểm định dị biệt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chế độ con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102"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outcomes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Advanced resource-driven, Upper-middle, Lower-middle transition, Emerging, SIDS). Quy mô này là lớn nhất cho khu vực trong văn liệu internationalization–performance, gồm cả trường hợp biên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hiệu ứng cố định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0"/>
    <w:bookmarkStart w:id="91"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1"/>
    <w:bookmarkStart w:id="92"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2"/>
    <w:bookmarkStart w:id="93"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3"/>
    <w:bookmarkStart w:id="94"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đường cong chữ S / bậc ba.</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bậc ba được nghiên cứu thành phần P2 xác nhận có ý nghĩa thống kê ở Trung Quốc với điểm uốn ~47,8% FSTS, làm cơ sở cho việc kiểm định mở rộng trong luận án.</w:t>
      </w:r>
    </w:p>
    <w:bookmarkEnd w:id="94"/>
    <w:bookmarkStart w:id="95"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Số hạng bậc hai được ưu tiên hơn bậc ba trong khung đa quốc gia khi khối lượng phân phối ở vùng cường độ xuất khẩu cao không đủ để nhận dạng chính xác điểm uốn bậc ba; bậc ba chỉ được giữ ở nghiên cứu Trung Quốc, nơi cả hai đợt khảo sát có đủ mật độ doanh nghiệp xuất khẩu cường độ cao.</w:t>
      </w:r>
    </w:p>
    <w:bookmarkEnd w:id="95"/>
    <w:bookmarkStart w:id="99" w:name="đo-lường-biến-điều-tiết"/>
    <w:p>
      <w:pPr>
        <w:pStyle w:val="Heading3"/>
      </w:pPr>
      <w:r>
        <w:t xml:space="preserve">3.3.4 Đo lường biến điều tiết</w:t>
      </w:r>
    </w:p>
    <w:bookmarkStart w:id="96"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cấu trúc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cấu trúc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lá chắn số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cấu trúc purity ở 50 nền kinh tế châu Á và Thái Bình Dương, với pipeline hòa hợp 3 thế hệ schema. Phân tách TCI và DAI theo (i) Bharadwaj et al. (2013), IT capability vs digital business strategy có mạng quan hệ lý thuyết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chỉ số hợp thành của Coltman et al. (2008), đảm bảo TCI và DAI là hai chỉ số hợp thành độc lập.</w:t>
      </w:r>
    </w:p>
    <w:bookmarkEnd w:id="96"/>
    <w:bookmarkStart w:id="97"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meta-analytic evidence về institutional các biến điều tiết.</w:t>
      </w:r>
    </w:p>
    <w:bookmarkEnd w:id="97"/>
    <w:bookmarkStart w:id="98"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8"/>
    <w:bookmarkEnd w:id="99"/>
    <w:bookmarkStart w:id="100"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Pacific SIDS,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0"/>
    <w:bookmarkStart w:id="101"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biến giả, sector biến giả, country hiệu ứng cố định, year hiệu ứng cố định.</w:t>
      </w:r>
    </w:p>
    <w:p>
      <w:pPr>
        <w:pStyle w:val="BodyText"/>
      </w:pPr>
      <w:r>
        <w:rPr>
          <w:bCs/>
          <w:b/>
        </w:rPr>
        <w:t xml:space="preserve">Cơ sở kế thừa</w:t>
      </w:r>
      <w:r>
        <w:t xml:space="preserve">: chuẩn trong nghiên cứu WBES và IB (Aterido et al., 2011; Ayyagari et al., 2011).</w:t>
      </w:r>
    </w:p>
    <w:bookmarkEnd w:id="101"/>
    <w:bookmarkEnd w:id="102"/>
    <w:bookmarkStart w:id="120" w:name="mô-hình-phân-tích"/>
    <w:p>
      <w:pPr>
        <w:pStyle w:val="Heading2"/>
      </w:pPr>
      <w:r>
        <w:t xml:space="preserve">3.4 Mô hình phân tích</w:t>
      </w:r>
    </w:p>
    <w:bookmarkStart w:id="103"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Gộp effect size tính theo inverse-variance weighting (Borenstein et al., 2009).</w:t>
      </w:r>
    </w:p>
    <w:p>
      <w:pPr>
        <w:pStyle w:val="BodyText"/>
      </w:pPr>
      <w:r>
        <w:t xml:space="preserve">Dị biệt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103"/>
    <w:bookmarkStart w:id="104"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4"/>
    <w:bookmarkStart w:id="10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bậc ba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5"/>
    <w:bookmarkStart w:id="10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bookmarkEnd w:id="106"/>
    <w:bookmarkStart w:id="109" w:name="mô-hình-điều-tiết-h2h6"/>
    <w:p>
      <w:pPr>
        <w:pStyle w:val="Heading3"/>
      </w:pPr>
      <w:r>
        <w:t xml:space="preserve">3.4.4 Mô hình điều tiết (H2–H6)</w:t>
      </w:r>
    </w:p>
    <w:bookmarkStart w:id="107"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7"/>
    <w:bookmarkStart w:id="108"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08"/>
    <w:bookmarkEnd w:id="109"/>
    <w:bookmarkStart w:id="11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cơ sở bậc ba 2012.</w:t>
      </w:r>
    </w:p>
    <w:p>
      <w:pPr>
        <w:pStyle w:val="BodyText"/>
      </w:pPr>
      <w:r>
        <w:rPr>
          <w:bCs/>
          <w:b/>
        </w:rPr>
        <w:t xml:space="preserve">Đóng góp mới</w:t>
      </w:r>
      <w:r>
        <w:t xml:space="preserve">: áp dụng cho China 2012 và 2024 để kiểm định stability của bậc ba điểm uốn (~47,8% FSTS) sau hơn một thập kỷ chuyển đổi số.</w:t>
      </w:r>
    </w:p>
    <w:bookmarkEnd w:id="110"/>
    <w:bookmarkStart w:id="11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bookmarkEnd w:id="111"/>
    <w:bookmarkStart w:id="11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12"/>
    <w:bookmarkStart w:id="11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13"/>
    <w:bookmarkStart w:id="11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14"/>
    <w:bookmarkStart w:id="117"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15"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15"/>
    <w:bookmarkStart w:id="11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6"/>
    <w:bookmarkEnd w:id="117"/>
    <w:bookmarkStart w:id="118"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phương sai thay đổi. Đối với multi-country, bổ sung clustered SE theo country.</w:t>
      </w:r>
    </w:p>
    <w:bookmarkEnd w:id="118"/>
    <w:bookmarkStart w:id="11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19"/>
    <w:bookmarkEnd w:id="120"/>
    <w:bookmarkStart w:id="130" w:name="kiểm-định-độ-vững"/>
    <w:p>
      <w:pPr>
        <w:pStyle w:val="Heading2"/>
      </w:pPr>
      <w:r>
        <w:t xml:space="preserve">3.5 Kiểm định độ vững</w:t>
      </w:r>
    </w:p>
    <w:bookmarkStart w:id="121"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21"/>
    <w:bookmarkStart w:id="122" w:name="mẫu-phụ"/>
    <w:p>
      <w:pPr>
        <w:pStyle w:val="Heading3"/>
      </w:pPr>
      <w:r>
        <w:t xml:space="preserve">3.5.2 Mẫu phụ</w:t>
      </w:r>
    </w:p>
    <w:p>
      <w:pPr>
        <w:pStyle w:val="FirstParagraph"/>
      </w:pPr>
      <w:r>
        <w:t xml:space="preserve">Loại trừ micro firms (&lt;5 lao động); chỉ giữ SMEs; chỉ giữ manufacturing; chỉ giữ doanh nghiệp xuất khẩu (FSTS &gt; 0); subgroup theo 6 chế độ con ICRV.</w:t>
      </w:r>
    </w:p>
    <w:bookmarkEnd w:id="122"/>
    <w:bookmarkStart w:id="123" w:name="giá-trị-ngoại-lai"/>
    <w:p>
      <w:pPr>
        <w:pStyle w:val="Heading3"/>
      </w:pPr>
      <w:r>
        <w:t xml:space="preserve">3.5.3 Giá trị ngoại lai</w:t>
      </w:r>
    </w:p>
    <w:p>
      <w:pPr>
        <w:pStyle w:val="FirstParagraph"/>
      </w:pPr>
      <w:r>
        <w:t xml:space="preserve">Winsorization 1% và 5% đối với labor productivity và employment, áp dụng trong từng country-year.</w:t>
      </w:r>
    </w:p>
    <w:bookmarkEnd w:id="123"/>
    <w:bookmarkStart w:id="124" w:name="đa-cộng-tuyến-và-phương-sai-thay-đổi"/>
    <w:p>
      <w:pPr>
        <w:pStyle w:val="Heading3"/>
      </w:pPr>
      <w:r>
        <w:t xml:space="preserve">3.5.4 Đa cộng tuyến và phương sai thay đổi</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24"/>
    <w:bookmarkStart w:id="125" w:name="phân-tích-độ-nhạy-cho-meta-analysis"/>
    <w:p>
      <w:pPr>
        <w:pStyle w:val="Heading3"/>
      </w:pPr>
      <w:r>
        <w:t xml:space="preserve">3.5.5 phân tích độ nhạy cho meta-analysis</w:t>
      </w:r>
    </w:p>
    <w:p>
      <w:pPr>
        <w:numPr>
          <w:ilvl w:val="0"/>
          <w:numId w:val="1013"/>
        </w:numPr>
        <w:pStyle w:val="Compact"/>
      </w:pPr>
      <w:r>
        <w:t xml:space="preserve">Leave-one-out: loại từng nghiên cứu và tái tính gộp effect.</w:t>
      </w:r>
    </w:p>
    <w:p>
      <w:pPr>
        <w:numPr>
          <w:ilvl w:val="0"/>
          <w:numId w:val="1013"/>
        </w:numPr>
        <w:pStyle w:val="Compact"/>
      </w:pPr>
      <w:r>
        <w:t xml:space="preserve">Trim-and-fill (Duval &amp; Tweedie, 2000) cho publication bias.</w:t>
      </w:r>
    </w:p>
    <w:bookmarkEnd w:id="125"/>
    <w:bookmarkStart w:id="12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meta-analysis,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26"/>
    <w:bookmarkStart w:id="12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27"/>
    <w:bookmarkStart w:id="12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28"/>
    <w:bookmarkStart w:id="12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29"/>
    <w:bookmarkEnd w:id="130"/>
    <w:bookmarkStart w:id="13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chế độ con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điều tiết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cấu trúc purity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31"/>
    <w:bookmarkStart w:id="13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32"/>
    <w:bookmarkStart w:id="133" w:name="chương-4-kết-quả-nghiên-cứu"/>
    <w:p>
      <w:pPr>
        <w:pStyle w:val="Heading1"/>
      </w:pPr>
      <w:r>
        <w:t xml:space="preserve">CHƯƠNG 4: KẾT QUẢ NGHIÊN CỨU</w:t>
      </w:r>
    </w:p>
    <w:bookmarkEnd w:id="133"/>
    <w:p>
      <w:r>
        <w:pict>
          <v:rect style="width:0;height:1.5pt" o:hralign="center" o:hrstd="t" o:hr="t"/>
        </w:pict>
      </w:r>
    </w:p>
    <w:bookmarkStart w:id="13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34"/>
    <w:bookmarkStart w:id="140" w:name="Xed285cd0261846a13dee28de69c0403b250498d"/>
    <w:p>
      <w:pPr>
        <w:pStyle w:val="Heading2"/>
      </w:pPr>
      <w:r>
        <w:t xml:space="preserve">4.1 Thực trạng quốc tế hóa và hiệu quả hoạt động kinh doanh tại châu Á</w:t>
      </w:r>
    </w:p>
    <w:bookmarkStart w:id="13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135"/>
    <w:bookmarkStart w:id="13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36"/>
    <w:bookmarkStart w:id="13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37"/>
    <w:bookmarkStart w:id="13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38"/>
    <w:bookmarkStart w:id="13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39"/>
    <w:bookmarkEnd w:id="140"/>
    <w:bookmarkStart w:id="145" w:name="Xe0084a7c2f7e752cafc4091ca0758f37f91bfa0"/>
    <w:p>
      <w:pPr>
        <w:pStyle w:val="Heading2"/>
      </w:pPr>
      <w:r>
        <w:t xml:space="preserve">4.2 Kết quả tổng hợp định lượng: Meta-analysis ba tầng (P6)</w:t>
      </w:r>
    </w:p>
    <w:bookmarkStart w:id="14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41"/>
    <w:bookmarkStart w:id="14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42"/>
    <w:bookmarkStart w:id="14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143"/>
    <w:bookmarkStart w:id="14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gộp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dị biệt</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meta-analysis trên dữ liệu thứ cấp không đồng nhất.</w:t>
      </w:r>
    </w:p>
    <w:p>
      <w:r>
        <w:pict>
          <v:rect style="width:0;height:1.5pt" o:hralign="center" o:hrstd="t" o:hr="t"/>
        </w:pict>
      </w:r>
    </w:p>
    <w:bookmarkEnd w:id="144"/>
    <w:bookmarkEnd w:id="145"/>
    <w:bookmarkStart w:id="153" w:name="Xae571c1410747d630a72c4d12985bac375822ae"/>
    <w:p>
      <w:pPr>
        <w:pStyle w:val="Heading2"/>
      </w:pPr>
      <w:r>
        <w:t xml:space="preserve">4.3 Kết quả bối cảnh thể chế tiên tiến: Đổi mới: Singapore (P4)</w:t>
      </w:r>
    </w:p>
    <w:bookmarkStart w:id="14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46"/>
    <w:bookmarkStart w:id="14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47"/>
    <w:bookmarkStart w:id="14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48"/>
    <w:bookmarkStart w:id="149"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49"/>
    <w:bookmarkStart w:id="150"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50"/>
    <w:bookmarkStart w:id="151"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51"/>
    <w:bookmarkStart w:id="152"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152"/>
    <w:bookmarkEnd w:id="153"/>
    <w:bookmarkStart w:id="161" w:name="Xabe361c2d5961cf19ce7ab2bd5d9bc6d758140a"/>
    <w:p>
      <w:pPr>
        <w:pStyle w:val="Heading2"/>
      </w:pPr>
      <w:r>
        <w:t xml:space="preserve">4.4 Kết quả bối cảnh thể chế trung bình cao: Trung Quốc, 2012–2024 (P5)</w:t>
      </w:r>
    </w:p>
    <w:bookmarkStart w:id="154"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54"/>
    <w:bookmarkStart w:id="155" w:name="X28c1d9c57eb0f73d2f6207fea4a34aaa44333b8"/>
    <w:p>
      <w:pPr>
        <w:pStyle w:val="Heading3"/>
      </w:pPr>
      <w:r>
        <w:t xml:space="preserve">4.4.2 Kiểm định tính ổn định theo thời gian: tính ổn định theo thời gian</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55"/>
    <w:bookmarkStart w:id="156"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56"/>
    <w:bookmarkStart w:id="157"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57"/>
    <w:bookmarkStart w:id="158"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58"/>
    <w:bookmarkStart w:id="159"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59"/>
    <w:bookmarkStart w:id="160"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160"/>
    <w:bookmarkEnd w:id="161"/>
    <w:bookmarkStart w:id="169" w:name="Xdbd5cc67084304ba85b73781c0cb0c00b74055b"/>
    <w:p>
      <w:pPr>
        <w:pStyle w:val="Heading2"/>
      </w:pPr>
      <w:r>
        <w:t xml:space="preserve">4.5 Kết quả bối cảnh chuyển đổi bậc thấp–trung: Việt Nam (P3)</w:t>
      </w:r>
    </w:p>
    <w:bookmarkStart w:id="162"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62"/>
    <w:bookmarkStart w:id="163"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63"/>
    <w:bookmarkStart w:id="164"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64"/>
    <w:bookmarkStart w:id="165"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165"/>
    <w:bookmarkStart w:id="166"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166"/>
    <w:bookmarkStart w:id="167"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167"/>
    <w:bookmarkStart w:id="168"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168"/>
    <w:bookmarkEnd w:id="169"/>
    <w:bookmarkStart w:id="176" w:name="X561afa853383c674354c1acb167a55cae3a018f"/>
    <w:p>
      <w:pPr>
        <w:pStyle w:val="Heading2"/>
      </w:pPr>
      <w:r>
        <w:t xml:space="preserve">4.6 Kết quả kiểm định toàn mẫu đa bối cảnh châu Á (P7)</w:t>
      </w:r>
    </w:p>
    <w:bookmarkStart w:id="170"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70"/>
    <w:bookmarkStart w:id="174"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72" name="Picture"/>
            <a:graphic>
              <a:graphicData uri="http://schemas.openxmlformats.org/drawingml/2006/picture">
                <pic:pic>
                  <pic:nvPicPr>
                    <pic:cNvPr descr="figures/fig_4_x_ip_curves_icrv_gradient.png" id="173" name="Picture"/>
                    <pic:cNvPicPr>
                      <a:picLocks noChangeArrowheads="1" noChangeAspect="1"/>
                    </pic:cNvPicPr>
                  </pic:nvPicPr>
                  <pic:blipFill>
                    <a:blip r:embed="rId171"/>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74"/>
    <w:bookmarkStart w:id="175"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75"/>
    <w:bookmarkEnd w:id="176"/>
    <w:bookmarkStart w:id="184" w:name="X42f69945b56833cca239d45dc5864a7be6f74d7"/>
    <w:p>
      <w:pPr>
        <w:pStyle w:val="Heading2"/>
      </w:pPr>
      <w:r>
        <w:t xml:space="preserve">4.7 Kết quả trường hợp biên SIDS: Các nền kinh tế đảo nhỏ đang phát triển (P8)</w:t>
      </w:r>
    </w:p>
    <w:bookmarkStart w:id="177"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77"/>
    <w:bookmarkStart w:id="178"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78"/>
    <w:bookmarkStart w:id="179"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79"/>
    <w:bookmarkStart w:id="18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80"/>
    <w:bookmarkStart w:id="18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81"/>
    <w:bookmarkStart w:id="18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82"/>
    <w:bookmarkStart w:id="183"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183"/>
    <w:bookmarkEnd w:id="184"/>
    <w:bookmarkStart w:id="18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8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85"/>
    <w:bookmarkStart w:id="186"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86"/>
    <w:bookmarkStart w:id="18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187"/>
    <w:bookmarkEnd w:id="188"/>
    <w:bookmarkStart w:id="19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8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189"/>
    <w:bookmarkStart w:id="19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90"/>
    <w:bookmarkStart w:id="19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191"/>
    <w:bookmarkEnd w:id="192"/>
    <w:bookmarkStart w:id="19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93"/>
    <w:bookmarkStart w:id="19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không có ý nghĩa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94"/>
    <w:bookmarkStart w:id="19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95"/>
    <w:bookmarkStart w:id="196" w:name="chương-5-kết-luận-và-đề-xuất"/>
    <w:p>
      <w:pPr>
        <w:pStyle w:val="Heading1"/>
      </w:pPr>
      <w:r>
        <w:t xml:space="preserve">CHƯƠNG 5: KẾT LUẬN VÀ ĐỀ XUẤT</w:t>
      </w:r>
    </w:p>
    <w:bookmarkEnd w:id="196"/>
    <w:p>
      <w:r>
        <w:pict>
          <v:rect style="width:0;height:1.5pt" o:hralign="center" o:hrstd="t" o:hr="t"/>
        </w:pict>
      </w:r>
    </w:p>
    <w:bookmarkStart w:id="19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97"/>
    <w:bookmarkStart w:id="205" w:name="Xff8cef3ed320f9cf6f3fba4ff558bfed3af19c6"/>
    <w:p>
      <w:pPr>
        <w:pStyle w:val="Heading2"/>
      </w:pPr>
      <w:r>
        <w:t xml:space="preserve">5.1 Bàn luận kết quả theo khung lý thuyết CDCM</w:t>
      </w:r>
    </w:p>
    <w:bookmarkStart w:id="19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98"/>
    <w:bookmarkStart w:id="199"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99"/>
    <w:bookmarkStart w:id="200"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200"/>
    <w:bookmarkStart w:id="20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01"/>
    <w:bookmarkStart w:id="20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02"/>
    <w:bookmarkStart w:id="20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03"/>
    <w:bookmarkStart w:id="20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04"/>
    <w:bookmarkEnd w:id="205"/>
    <w:bookmarkStart w:id="209" w:name="so-sánh-với-nghiên-cứu-trước-đây"/>
    <w:p>
      <w:pPr>
        <w:pStyle w:val="Heading2"/>
      </w:pPr>
      <w:r>
        <w:t xml:space="preserve">5.2 So sánh với nghiên cứu trước đây</w:t>
      </w:r>
    </w:p>
    <w:bookmarkStart w:id="206" w:name="nhất-quán-với-cơ-sở-icbef-2024"/>
    <w:p>
      <w:pPr>
        <w:pStyle w:val="Heading3"/>
      </w:pPr>
      <w:r>
        <w:t xml:space="preserve">5.2.1 Nhất quán với cơ sở ICBEF 2024</w:t>
      </w:r>
    </w:p>
    <w:p>
      <w:pPr>
        <w:pStyle w:val="FirstParagraph"/>
      </w:pPr>
      <w:r>
        <w:t xml:space="preserve">Kết quả gộp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cơ sở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gộp effect khi mở rộng pool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dị biệt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06"/>
    <w:bookmarkStart w:id="20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207"/>
    <w:bookmarkStart w:id="208"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chế độ con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208"/>
    <w:bookmarkEnd w:id="209"/>
    <w:bookmarkStart w:id="215" w:name="đóng-góp-lý-thuyết-1"/>
    <w:p>
      <w:pPr>
        <w:pStyle w:val="Heading2"/>
      </w:pPr>
      <w:r>
        <w:t xml:space="preserve">5.3 Đóng góp lý thuyết</w:t>
      </w:r>
    </w:p>
    <w:bookmarkStart w:id="21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10"/>
    <w:bookmarkStart w:id="211"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I–P qua hai con đường khác nhau, một phát hiện không thể đạt được nếu chúng bị gộp chung.</w:t>
      </w:r>
    </w:p>
    <w:bookmarkEnd w:id="211"/>
    <w:bookmarkStart w:id="212"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cấu trúc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đường cong chữ S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212"/>
    <w:bookmarkStart w:id="213"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213"/>
    <w:bookmarkStart w:id="214"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I–P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214"/>
    <w:bookmarkEnd w:id="215"/>
    <w:bookmarkStart w:id="221" w:name="đề-xuất-chính-sách-và-quản-trị"/>
    <w:p>
      <w:pPr>
        <w:pStyle w:val="Heading2"/>
      </w:pPr>
      <w:r>
        <w:t xml:space="preserve">5.4 Đề xuất chính sách và quản trị</w:t>
      </w:r>
    </w:p>
    <w:bookmarkStart w:id="21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16"/>
    <w:bookmarkStart w:id="21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17"/>
    <w:bookmarkStart w:id="218"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218"/>
    <w:bookmarkStart w:id="219"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19"/>
    <w:bookmarkStart w:id="220"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I–P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logistics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20"/>
    <w:bookmarkEnd w:id="221"/>
    <w:bookmarkStart w:id="227" w:name="hạn-chế-và-hướng-nghiên-cứu-tương-lai"/>
    <w:p>
      <w:pPr>
        <w:pStyle w:val="Heading2"/>
      </w:pPr>
      <w:r>
        <w:t xml:space="preserve">5.5 Hạn chế và hướng nghiên cứu tương lai</w:t>
      </w:r>
    </w:p>
    <w:bookmarkStart w:id="22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năng lực động theory (Teece et al., 1997).</w:t>
      </w:r>
    </w:p>
    <w:bookmarkEnd w:id="222"/>
    <w:bookmarkStart w:id="22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Singapore mẫu phụ xuất khẩu N = 84, SIDS exporters-only N = 26) đối mặt với rủi ro thiên lệch chọn lựa nghiêm trọng: doanh nghiệp xuất khẩu không phải là mẫu ngẫu nhiên từ tổng thể doanh nghiệp mà có khả năng là các doanh nghiệp đã có một số lợi thế ban đầu (productivity, resources, connections). Kết quả từ chỉ doanh nghiệp xuất khẩu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23"/>
    <w:bookmarkStart w:id="224" w:name="hạn-chế-về-nhân-quả"/>
    <w:p>
      <w:pPr>
        <w:pStyle w:val="Heading3"/>
      </w:pPr>
      <w:r>
        <w:t xml:space="preserve">5.5.3 Hạn chế về nhân quả</w:t>
      </w:r>
    </w:p>
    <w:p>
      <w:pPr>
        <w:pStyle w:val="FirstParagraph"/>
      </w:pPr>
      <w:r>
        <w:t xml:space="preserve">Thiết kế lát cắt ngang (hoặc dữ liệu bảng gộp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hiệu ứng cố định và year hiệu ứng cố định giúp kiểm soát một phần, nhưng không giải quyết hoàn toàn vấn đề endogeneity.</w:t>
      </w:r>
    </w:p>
    <w:bookmarkEnd w:id="224"/>
    <w:bookmarkStart w:id="225" w:name="Xaabc0d89d536a1e9410458192adfca25fc5dd1f"/>
    <w:p>
      <w:pPr>
        <w:pStyle w:val="Heading3"/>
      </w:pPr>
      <w:r>
        <w:t xml:space="preserve">5.5.3.1 Hạn chế về bất biến đo lường qua các thế hệ schema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schema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25"/>
    <w:bookmarkStart w:id="226"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I–P.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w:t>
      </w:r>
    </w:p>
    <w:p>
      <w:r>
        <w:pict>
          <v:rect style="width:0;height:1.5pt" o:hralign="center" o:hrstd="t" o:hr="t"/>
        </w:pict>
      </w:r>
    </w:p>
    <w:bookmarkEnd w:id="226"/>
    <w:bookmarkEnd w:id="227"/>
    <w:bookmarkStart w:id="232" w:name="kết-luận"/>
    <w:p>
      <w:pPr>
        <w:pStyle w:val="Heading2"/>
      </w:pPr>
      <w:r>
        <w:t xml:space="preserve">5.6 Kết luận</w:t>
      </w:r>
    </w:p>
    <w:bookmarkStart w:id="228"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cơ sở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điều tiết</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228"/>
    <w:bookmarkStart w:id="22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229"/>
    <w:bookmarkStart w:id="23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nguồn lực tình huống chứ không phải năng lực nền tảng;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30"/>
    <w:bookmarkStart w:id="231"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231"/>
    <w:bookmarkEnd w:id="232"/>
    <w:bookmarkStart w:id="27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33"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33"/>
    <w:bookmarkStart w:id="234"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34"/>
    <w:bookmarkStart w:id="235"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35"/>
    <w:bookmarkStart w:id="236"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6"/>
    <w:bookmarkStart w:id="237"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37"/>
    <w:bookmarkStart w:id="238"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38"/>
    <w:bookmarkStart w:id="239"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39"/>
    <w:bookmarkStart w:id="240" w:name="h.-firm-performance-đa-chiều"/>
    <w:p>
      <w:pPr>
        <w:pStyle w:val="Heading2"/>
      </w:pPr>
      <w:r>
        <w:t xml:space="preserve">H. Firm performance đa chiều</w:t>
      </w:r>
    </w:p>
    <w:p>
      <w:pPr>
        <w:pStyle w:val="FirstParagraph"/>
      </w:pPr>
      <w:r>
        <w:t xml:space="preserve">(Giữ nguyên từ v2.1.)</w:t>
      </w:r>
    </w:p>
    <w:bookmarkEnd w:id="240"/>
    <w:bookmarkStart w:id="241"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41"/>
    <w:bookmarkStart w:id="243"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42"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42"/>
    <w:bookmarkEnd w:id="243"/>
    <w:bookmarkStart w:id="244"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44"/>
    <w:bookmarkStart w:id="245"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45"/>
    <w:bookmarkStart w:id="246"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46"/>
    <w:bookmarkStart w:id="247"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47"/>
    <w:bookmarkStart w:id="248"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248"/>
    <w:bookmarkStart w:id="249"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49"/>
    <w:bookmarkStart w:id="250"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50"/>
    <w:bookmarkStart w:id="251"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51"/>
    <w:bookmarkStart w:id="252"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52"/>
    <w:bookmarkStart w:id="253"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253"/>
    <w:bookmarkStart w:id="257" w:name="hướng-dẫn-sử-dụng-cập-nhật-v2.5"/>
    <w:p>
      <w:pPr>
        <w:pStyle w:val="Heading2"/>
      </w:pPr>
      <w:r>
        <w:t xml:space="preserve">Hướng dẫn sử dụng (cập nhật v2.5)</w:t>
      </w:r>
    </w:p>
    <w:bookmarkStart w:id="254"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54"/>
    <w:bookmarkStart w:id="255"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55"/>
    <w:bookmarkStart w:id="256"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56"/>
    <w:bookmarkEnd w:id="257"/>
    <w:bookmarkStart w:id="258"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58"/>
    <w:bookmarkStart w:id="259"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59"/>
    <w:bookmarkStart w:id="260"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60"/>
    <w:bookmarkStart w:id="261"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61"/>
    <w:bookmarkStart w:id="265"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62" w:name="X041759103c7c799db9799d6bd71834307a428c8"/>
    <w:p>
      <w:pPr>
        <w:pStyle w:val="Heading3"/>
      </w:pPr>
      <w:r>
        <w:t xml:space="preserve">Công trình của tác giả luận án — Cập nhật Section M</w:t>
      </w:r>
    </w:p>
    <w:bookmarkEnd w:id="262"/>
    <w:bookmarkStart w:id="263"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63"/>
    <w:bookmarkStart w:id="264"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64"/>
    <w:bookmarkEnd w:id="265"/>
    <w:bookmarkStart w:id="266"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66"/>
    <w:bookmarkStart w:id="267"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67"/>
    <w:bookmarkStart w:id="268"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68"/>
    <w:bookmarkStart w:id="269"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69"/>
    <w:bookmarkEnd w:id="270"/>
    <w:bookmarkStart w:id="281"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71"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71"/>
    <w:bookmarkStart w:id="272"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72"/>
    <w:bookmarkStart w:id="273"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73"/>
    <w:bookmarkStart w:id="274"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74"/>
    <w:bookmarkStart w:id="275"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75"/>
    <w:bookmarkStart w:id="276"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76"/>
    <w:bookmarkStart w:id="277"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77"/>
    <w:bookmarkStart w:id="278"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8"/>
    <w:bookmarkStart w:id="279"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79"/>
    <w:bookmarkStart w:id="280"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80"/>
    <w:bookmarkEnd w:id="28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71" Target="media/rId1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2026-06-16T09:54:19Z</dcterms:created>
  <dcterms:modified xsi:type="dcterms:W3CDTF">2026-06-16T09:54:19Z</dcterms:modified>
</cp:coreProperties>
</file>

<file path=docProps/custom.xml><?xml version="1.0" encoding="utf-8"?>
<Properties xmlns="http://schemas.openxmlformats.org/officeDocument/2006/custom-properties" xmlns:vt="http://schemas.openxmlformats.org/officeDocument/2006/docPropsVTypes"/>
</file>