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văn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văn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văn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gồm Singapore, Hong Kong SAR, Hàn Quốc, Đài Loan, Israel và Nhật Bản), Nhóm II (Advanced Resource-Driven, bao gồm các nền kinh tế vùng Vịnh), Nhóm III (Upper-middle, điển hình là Trung Quốc), Nhóm IV (Lower-middle transition, bao gồm Việt Nam và Ấn Độ), Nhóm V (Emerging),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Đối với các doanh nghiệp ở những nền kinh tế chuyển đổi và mới nổi tại châu Á, cơ chế học hỏi trải nghiệm có hàm ý trực tiếp với hình dạng phi tuyến của quan hệ I–P: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RBV (Barney, 1991). Phân tầng này giải thích vì sao luận án dự báo hai cấu trúc số vận hành qua hai cơ chế khác nhau trong quan hệ I–P, thay vì giả định một hiệu ứng đồng nhất.</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văn liệu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I–P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gradient thể chế đa chiều, neo đậu trong lý thuyết thể chế đương đại.</w:t>
      </w:r>
    </w:p>
    <w:bookmarkEnd w:id="27"/>
    <w:bookmarkStart w:id="28"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bookmarkEnd w:id="28"/>
    <w:bookmarkStart w:id="29"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w:t>
      </w:r>
    </w:p>
    <w:p>
      <w:pPr>
        <w:pStyle w:val="BodyText"/>
      </w:pPr>
      <w:r>
        <w:t xml:space="preserve">Sự phân biệt giữa hai cấu trúc số có nền tảng đo lường vững chắc trong văn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I–P,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p>
      <w:r>
        <w:pict>
          <v:rect style="width:0;height:1.5pt" o:hralign="center" o:hrstd="t" o:hr="t"/>
        </w:pict>
      </w:r>
    </w:p>
    <w:bookmarkEnd w:id="29"/>
    <w:bookmarkEnd w:id="30"/>
    <w:bookmarkStart w:id="36" w:name="tổng-quan-thực-nghiệm"/>
    <w:p>
      <w:pPr>
        <w:pStyle w:val="Heading2"/>
      </w:pPr>
      <w:r>
        <w:t xml:space="preserve">2.3 Tổng quan thực nghiệm</w:t>
      </w:r>
    </w:p>
    <w:bookmarkStart w:id="31" w:name="giai-đoạn-phát-triển-của-văn-liệu-ip"/>
    <w:p>
      <w:pPr>
        <w:pStyle w:val="Heading3"/>
      </w:pPr>
      <w:r>
        <w:t xml:space="preserve">2.3.1 Giai đoạn phát triển của văn liệu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I–P.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văn liệu I–P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văn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bookmarkEnd w:id="31"/>
    <w:bookmarkStart w:id="32"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văn liệu với 170 nghiên cứu và 32 quốc gia, tìm thấy r ≈ 0,07–0,13 và chứng minh rằng thể chế quốc gia nguồn là biến điều tiết quan trọng nhất trong tất cả các biến bối cảnh được kiểm định. Wu et al. (2022) cập nhật với pool 218 quy mô hiệu ứng tập trung vào các thị trường mới nổi multinationals (EMNEs) và tìm thấy mô hình biến điều tiết tương tự. Tại hội nghị ICBEF 2024, kết quả sơ bộ từ pool nghiên cứu về châu Á với k = 113 nghiên cứu cho thấy r = 0,07, nhất quán với các meta-analyses toàn cầu nhưng cụ thể hơn về bối cảnh châu Á. Luận án này mở rộng pool đó thông qua Nghiên cứu P6, một meta-analysis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I–P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I–P. Ở cấp doanh nghiệp, Arbelo, Arbelo-Pérez và Pérez-Gómez (2024) chứng minh quan hệ I–P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p>
      <w:pPr>
        <w:pStyle w:val="BodyText"/>
      </w:pPr>
      <w:r>
        <w:t xml:space="preserve">Giá trị của bằng chứng meta-analytic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meta-analysis nên được ưu tiên hơn so với đếm phiếu, vì meta-analysis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meta-analysis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meta-analytic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bookmarkEnd w:id="32"/>
    <w:bookmarkStart w:id="3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văn liệu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đa quốc gia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bậc ba chữ U ngược với ngưỡng FSTS tối ưu khoảng 47,8%, tức điểm điểm uốn khá thấp so với các nền kinh tế tiên tiến. Luận án kế thừa và mở rộng các kết quả này trên pool đầy đủ 50 nền kinh tế (bao gồm 7 nền kinh tế đảo nhỏ Thái Bình Dương (mẫu chính; 9 nền khi mở rộng độ vững)).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SIDS, về cơ bản thiếu vắng trong văn liệu.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p>
      <w:pPr>
        <w:pStyle w:val="BodyText"/>
      </w:pPr>
      <w:r>
        <w:t xml:space="preserve">Văn liệu về quan hệ I–P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bookmarkEnd w:id="33"/>
    <w:bookmarkStart w:id="34"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I–P, song nghiên cứu này, giống như đa số văn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bookmarkEnd w:id="34"/>
    <w:bookmarkStart w:id="3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institutional-voids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35"/>
    <w:bookmarkEnd w:id="36"/>
    <w:bookmarkStart w:id="3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I–P relationship.</w:t>
      </w:r>
      <w:r>
        <w:t xml:space="preserve"> </w:t>
      </w:r>
      <w:r>
        <w:t xml:space="preserve">Các meta-analyses nhất quán cho thấy I² &gt; 80%, tức hơn 80% biến thiên trong quy mô hiệu ứng không được giải thích bởi sai số ngẫu nhiên mà bởi sự khác biệt có hệ thống giữa các bối cảnh (Bausch &amp; Krist, 2007; Marano et al., 2016).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văn liệu trước.</w:t>
      </w:r>
      <w:r>
        <w:t xml:space="preserve"> </w:t>
      </w:r>
      <w:r>
        <w:t xml:space="preserve">Phần lớn các nghiên cứu về năng lực số trong bối cảnh I–P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văn liệu về I–P vẫn thiếu bằng chứng đa quốc gia bao quát đủ rộng để kiểm định khả năng tổng quát hóa của các lý thuyết. Pool 17 nước của nghiên cứu thành phần P1 là cơ sở lớn nhất hiện có trong văn liệu về châu Á, nhưng vẫn chưa bao gồm các nền kinh tế frontier và SIDS, những địa điểm cực kỳ quan trọng để kiểm định điều kiện biên.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(Country–Digital–Capability Moderation),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CDCM có thể giải thích đồng thời dị biệt I–P khi kiểm soát đầy đủ cả ba tầng trong một mô hình tích hợp ở quy mô đủ rộng để bao phủ toàn bộ gradient ICRV không? Văn liệu hiện tại chưa có bằng chứng kiểm định đồng thời năm biến điều tiết chính (TCI, DAI, kinh nghiệm quản trị, giới tính nhà quản trị, ICRV) trong một mô hình hồi quy đơn lẻ trên dữ liệu đa quốc gia quy mô lớn. Nghiên cứu thành phần P7 lấp đầy khoảng trống này bằng dữ liệu WBES từ 50 nền kinh tế (mẫu hồi quy M2 N = 81.022; N hồi quy mô hình đầy đủ = 79.080 sau loại bỏ listwise các biến điều tiết, 103 country-year waves), bao phủ toàn bộ gradient ICRV từ nhóm tiên tiến đến SIDS, kiểm định đồng thời H1–H6 với country-year hiệu ứng cố định. Kết quả điểm uốn trung bình ~36% FSTS tại P7, thấp hơn P3 Vietnam (~40%) và P5 Trung Quốc (~49%), xác nhận ICRV điều tiết vị trí điểm uốn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Không có nghiên cứu nào trong văn liệu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Nghiên cứu thành phần P8, Nghiên cứu P8, kiểm định H1b bằng dữ liệu WBES từ các nền kinh tế SIDS (Fiji, Papua New Guinea, Solomon Islands, Tonga, Vanuatu, Samoa, Kiribati), nơi ba điều kiện cấu trúc cơ bản của chữ U ngược đồng thời bị vi phạm: thị trường nội địa cực nhỏ, chi phí logistics cao bất thường, và hỗ trợ thể chế cho xuất khẩu gần như không tồn tại. Kết quả P8 xác định điều kiện biên cực trị của CDCM: điểm nơi lý thuyết đường cong chữ U ngược không còn ứng dụng được.</w:t>
      </w:r>
    </w:p>
    <w:p>
      <w:r>
        <w:pict>
          <v:rect style="width:0;height:1.5pt" o:hralign="center" o:hrstd="t" o:hr="t"/>
        </w:pict>
      </w:r>
    </w:p>
    <w:bookmarkEnd w:id="37"/>
    <w:bookmarkStart w:id="50" w:name="mô-hình-nghiên-cứu-và-hệ-giả-thuyết"/>
    <w:p>
      <w:pPr>
        <w:pStyle w:val="Heading2"/>
      </w:pPr>
      <w:r>
        <w:t xml:space="preserve">2.5 Mô hình nghiên cứu và hệ giả thuyết</w:t>
      </w:r>
    </w:p>
    <w:bookmarkStart w:id="4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điểm uốn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39" name="Picture"/>
            <a:graphic>
              <a:graphicData uri="http://schemas.openxmlformats.org/drawingml/2006/picture">
                <pic:pic>
                  <pic:nvPicPr>
                    <pic:cNvPr descr="figures/fig_2_1_cdcm_conceptual_model.png" id="40" name="Picture"/>
                    <pic:cNvPicPr>
                      <a:picLocks noChangeArrowheads="1" noChangeAspect="1"/>
                    </pic:cNvPicPr>
                  </pic:nvPicPr>
                  <pic:blipFill>
                    <a:blip r:embed="rId38"/>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41"/>
    <w:bookmarkStart w:id="4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42"/>
    <w:bookmarkStart w:id="4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khoảng trống thể chế, và Lall (2004) về SIDS structural constraints.</w:t>
      </w:r>
    </w:p>
    <w:bookmarkEnd w:id="43"/>
    <w:bookmarkStart w:id="44"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điểm uốn. Cơ sở lý thuyết bao gồm Barney (1991), Teece et al. (1997), và Bhandari et al. (2023).</w:t>
      </w:r>
    </w:p>
    <w:bookmarkEnd w:id="44"/>
    <w:bookmarkStart w:id="45"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45"/>
    <w:bookmarkStart w:id="46"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46"/>
    <w:bookmarkStart w:id="47"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47"/>
    <w:bookmarkStart w:id="48"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điểm uốn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48"/>
    <w:bookmarkStart w:id="49"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P1–P10),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chương,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Mục 2.3.2; Mục 4.2</w:t>
            </w:r>
          </w:p>
        </w:tc>
        <w:tc>
          <w:tcPr/>
          <w:p>
            <w:pPr>
              <w:pStyle w:val="Compact"/>
              <w:jc w:val="left"/>
            </w:pPr>
            <w:r>
              <w:t xml:space="preserve">Nền tảng cho H1, H5</w:t>
            </w:r>
          </w:p>
        </w:tc>
      </w:tr>
      <w:tr>
        <w:tc>
          <w:tcPr/>
          <w:p>
            <w:pPr>
              <w:pStyle w:val="Compact"/>
              <w:jc w:val="left"/>
            </w:pPr>
            <w:r>
              <w:t xml:space="preserve">P3: Việt Nam</w:t>
            </w:r>
          </w:p>
        </w:tc>
        <w:tc>
          <w:tcPr/>
          <w:p>
            <w:pPr>
              <w:pStyle w:val="Compact"/>
              <w:jc w:val="left"/>
            </w:pPr>
            <w:r>
              <w:t xml:space="preserve">Lower-middle transition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Advanced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Upper-middle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Meta-analysis ba tầng</w:t>
            </w:r>
          </w:p>
        </w:tc>
        <w:tc>
          <w:tcPr/>
          <w:p>
            <w:pPr>
              <w:pStyle w:val="Compact"/>
              <w:jc w:val="left"/>
            </w:pPr>
            <w:r>
              <w:t xml:space="preserve">Toàn bộ literature</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Capstone đa quốc gia (50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Lower-middle transition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Advanced đổi mới (Nhóm I)</w:t>
            </w:r>
          </w:p>
        </w:tc>
        <w:tc>
          <w:tcPr/>
          <w:p>
            <w:pPr>
              <w:pStyle w:val="Compact"/>
              <w:jc w:val="left"/>
            </w:pPr>
            <w:r>
              <w:t xml:space="preserve">Mục 4.1.5</w:t>
            </w:r>
          </w:p>
        </w:tc>
        <w:tc>
          <w:tcPr/>
          <w:p>
            <w:pPr>
              <w:pStyle w:val="Compact"/>
              <w:jc w:val="left"/>
            </w:pPr>
            <w:r>
              <w:t xml:space="preserve">H1 (dự đoán biên trên: gần tuyến tính)</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49"/>
    <w:bookmarkEnd w:id="50"/>
    <w:bookmarkStart w:id="51"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cấu trúc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văn liệu I–P đã phát triển qua ba giai đoạn, từ tuyến tính dương đến phi tuyến đến tập trung vào các biến điều tiết; các meta-analyses nhất quán cho thấy tác động tổng hợp là dương nhưng nhỏ với I² &gt; 80%, đòi hỏi cách tiếp cận biến điều tiết-centric; và bối cảnh châu Á, đặc biệt là các nền kinh tế frontier và SIDS, đang thiếu đại diện nghiêm trọng trong văn liệu.</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51"/>
    <w:bookmarkEnd w:id="5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2026-06-16T09:54:13Z</dcterms:created>
  <dcterms:modified xsi:type="dcterms:W3CDTF">2026-06-16T09:54:13Z</dcterms:modified>
</cp:coreProperties>
</file>

<file path=docProps/custom.xml><?xml version="1.0" encoding="utf-8"?>
<Properties xmlns="http://schemas.openxmlformats.org/officeDocument/2006/custom-properties" xmlns:vt="http://schemas.openxmlformats.org/officeDocument/2006/docPropsVTypes"/>
</file>