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meta-analytic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27" w:name="Xed285cd0261846a13dee28de69c0403b250498d"/>
    <w:p>
      <w:pPr>
        <w:pStyle w:val="Heading2"/>
      </w:pPr>
      <w:r>
        <w:t xml:space="preserve">4.1 Thực trạng quốc tế hóa và hiệu quả hoạt động kinh doanh tại châu Á</w:t>
      </w:r>
    </w:p>
    <w:bookmarkStart w:id="22"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Upper-middle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Lower-middle transition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Emerging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hồi quy chính của P7 là N = 81.022 (mô hình M2, khung 50 nền gồm Nhật Bản) và giảm còn 79.080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Advanced resource-driven; Nhóm III = Upper-middle;</w:t>
      </w:r>
      <w:r>
        <w:rPr>
          <w:iCs/>
          <w:i/>
        </w:rPr>
        <w:t xml:space="preserve"> </w:t>
      </w:r>
      <w:r>
        <w:rPr>
          <w:bCs/>
          <w:b/>
          <w:iCs/>
          <w:i/>
        </w:rPr>
        <w:t xml:space="preserve">Nhóm IV = Lower-middle transition</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Emerging</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pool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misallocation,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misallocation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meta-analysis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gradient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bookmarkEnd w:id="22"/>
    <w:bookmarkStart w:id="23"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3"/>
    <w:bookmarkStart w:id="24"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I–P âm đơn điệu (FIP).</w:t>
      </w:r>
    </w:p>
    <w:p>
      <w:pPr>
        <w:pStyle w:val="BodyText"/>
      </w:pPr>
      <w:r>
        <w:t xml:space="preserve">Một biểu hiện khác của bão hòa Tier-1 nằm ở tương quan giữa website và năng suất: phần bù tương quan của DAI Tier-1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Tier-1 nhiều hơn là giới hạn của số hóa, một vấn đề đo lường cần phân biệt với quan hệ nhân quả thực.</w:t>
      </w:r>
    </w:p>
    <w:bookmarkEnd w:id="24"/>
    <w:bookmarkStart w:id="25"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Emerging và Lower-middle transition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Emerging và SIDS giải thích tại sao quan hệ I–P ở các nhóm này yếu hoặc âm.</w:t>
      </w:r>
    </w:p>
    <w:bookmarkEnd w:id="25"/>
    <w:bookmarkStart w:id="26"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pool con riêng không liên quan Nhật Bản: P8 (FIP) trên 7 nền Pacific SIDS và P9 (ngưỡng) trên Ấn Độ. Ngoài ra, nghiên cứu thành phần P10 kiểm định chuyên sâu quan hệ I–P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Tier-1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pool,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văn liệu về trần kính trong quản trị doanh nghiệp Nhật Bản. Các đặc trưng này được khai thác đầy đủ trong nghiên cứu thành phần P10, kiểm định chuyên sâu quan hệ I–P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26"/>
    <w:bookmarkEnd w:id="27"/>
    <w:bookmarkStart w:id="32" w:name="Xe0084a7c2f7e752cafc4091ca0758f37f91bfa0"/>
    <w:p>
      <w:pPr>
        <w:pStyle w:val="Heading2"/>
      </w:pPr>
      <w:r>
        <w:t xml:space="preserve">4.2 Kết quả tổng hợp định lượng: Meta-analysis ba tầng (P6)</w:t>
      </w:r>
    </w:p>
    <w:bookmarkStart w:id="28"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28"/>
    <w:bookmarkStart w:id="29"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I–P văn liệu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văn liệu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9"/>
    <w:bookmarkStart w:id="30"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(Nhóm VI), là biến điều tiết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(theo phân loại 5-regime của P6). Kết quả này nhất quán với cơ chế lý thuyết từ Institutional Theory, môi trường thể chế chất lượng cao tạo điều kiện để doanh nghiệp chuyển hóa quốc tế hóa thành hiệu quả dễ dàng hơn (North, 1990; Marano et al., 2016).</w:t>
      </w:r>
      <w:r>
        <w:t xml:space="preserve"> </w:t>
      </w:r>
      <w:r>
        <w:rPr>
          <w:iCs/>
          <w:i/>
        </w:rPr>
        <w:t xml:space="preserve">(Lưu ý phân loại: P6, meta-analysis cấp nghiên cứu, dùng hệ ICRV 5-regime rút gọn [I Advanced-Innovation, II Upper-Middle, III Emerging, FR Frontier/SIDS, MX Mixed], khác với hệ 6 nhóm cấp doanh nghiệp dùng ở Mục 4.1 và Mục 4.6; nhóm</w:t>
      </w:r>
      <w:r>
        <w:rPr>
          <w:iCs/>
          <w:i/>
        </w:rPr>
        <w:t xml:space="preserve"> </w:t>
      </w:r>
      <w:r>
        <w:rPr>
          <w:iCs/>
          <w:i/>
        </w:rPr>
        <w:t xml:space="preserve">‘</w:t>
      </w:r>
      <w:r>
        <w:rPr>
          <w:iCs/>
          <w:i/>
        </w:rPr>
        <w:t xml:space="preserve">Frontier/SIDS</w:t>
      </w:r>
      <w:r>
        <w:rPr>
          <w:iCs/>
          <w:i/>
        </w:rPr>
        <w:t xml:space="preserve">’</w:t>
      </w:r>
      <w:r>
        <w:rPr>
          <w:iCs/>
          <w:i/>
        </w:rPr>
        <w:t xml:space="preserve"> </w:t>
      </w:r>
      <w:r>
        <w:rPr>
          <w:iCs/>
          <w:i/>
        </w:rPr>
        <w:t xml:space="preserve">của P6 là bin thể chế yếu nhất, tương ứng Nhóm V–VI trong hệ 6 nhóm. Thuật ngữ</w:t>
      </w:r>
      <w:r>
        <w:rPr>
          <w:iCs/>
          <w:i/>
        </w:rPr>
        <w:t xml:space="preserve"> </w:t>
      </w:r>
      <w:r>
        <w:rPr>
          <w:iCs/>
          <w:i/>
        </w:rPr>
        <w:t xml:space="preserve">‘</w:t>
      </w:r>
      <w:r>
        <w:rPr>
          <w:iCs/>
          <w:i/>
        </w:rPr>
        <w:t xml:space="preserve">Frontier</w:t>
      </w:r>
      <w:r>
        <w:rPr>
          <w:iCs/>
          <w:i/>
        </w:rPr>
        <w:t xml:space="preserve">’</w:t>
      </w:r>
      <w:r>
        <w:rPr>
          <w:iCs/>
          <w:i/>
        </w:rPr>
        <w:t xml:space="preserve"> </w:t>
      </w:r>
      <w:r>
        <w:rPr>
          <w:iCs/>
          <w:i/>
        </w:rPr>
        <w:t xml:space="preserve">ở Mục 4.2 giữ theo phân loại gốc của P6.)</w:t>
      </w:r>
    </w:p>
    <w:bookmarkEnd w:id="30"/>
    <w:bookmarkStart w:id="31"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gộp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pPr>
        <w:pStyle w:val="BodyText"/>
      </w:pPr>
      <w:r>
        <w:t xml:space="preserve">Phát hiện publication bias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publication bias, cấu trúc dị biệt này gợi ý một cách diễn giải lại</w:t>
      </w:r>
      <w:r>
        <w:t xml:space="preserve"> </w:t>
      </w:r>
      <w:r>
        <w:t xml:space="preserve">“</w:t>
      </w:r>
      <w:r>
        <w:t xml:space="preserve">câu đố dị biệt</w:t>
      </w:r>
      <w:r>
        <w:t xml:space="preserve">”</w:t>
      </w:r>
      <w:r>
        <w:t xml:space="preserve"> </w:t>
      </w:r>
      <w:r>
        <w:t xml:space="preserve">trong văn liệu I–P: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meta-analysis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meta-analysis trên dữ liệu thứ cấp không đồng nhất.</w:t>
      </w:r>
    </w:p>
    <w:p>
      <w:r>
        <w:pict>
          <v:rect style="width:0;height:1.5pt" o:hralign="center" o:hrstd="t" o:hr="t"/>
        </w:pict>
      </w:r>
    </w:p>
    <w:bookmarkEnd w:id="31"/>
    <w:bookmarkEnd w:id="32"/>
    <w:bookmarkStart w:id="40" w:name="Xae571c1410747d630a72c4d12985bac375822ae"/>
    <w:p>
      <w:pPr>
        <w:pStyle w:val="Heading2"/>
      </w:pPr>
      <w:r>
        <w:t xml:space="preserve">4.3 Kết quả bối cảnh thể chế tiên tiến: Đổi mới: Singapore (P4)</w:t>
      </w:r>
    </w:p>
    <w:bookmarkStart w:id="33"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4.1).</w:t>
      </w:r>
    </w:p>
    <w:bookmarkEnd w:id="33"/>
    <w:bookmarkStart w:id="34"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4"/>
    <w:bookmarkStart w:id="35"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35"/>
    <w:bookmarkStart w:id="36"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36"/>
    <w:bookmarkStart w:id="37"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văn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37"/>
    <w:bookmarkStart w:id="38"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38"/>
    <w:bookmarkStart w:id="39"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p>
      <w:r>
        <w:pict>
          <v:rect style="width:0;height:1.5pt" o:hralign="center" o:hrstd="t" o:hr="t"/>
        </w:pict>
      </w:r>
    </w:p>
    <w:bookmarkEnd w:id="39"/>
    <w:bookmarkEnd w:id="40"/>
    <w:bookmarkStart w:id="48" w:name="Xabe361c2d5961cf19ce7ab2bd5d9bc6d758140a"/>
    <w:p>
      <w:pPr>
        <w:pStyle w:val="Heading2"/>
      </w:pPr>
      <w:r>
        <w:t xml:space="preserve">4.4 Kết quả bối cảnh thể chế trung bình cao: Trung Quốc, 2012–2024 (P5)</w:t>
      </w:r>
    </w:p>
    <w:bookmarkStart w:id="41"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điểm uốn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41"/>
    <w:bookmarkStart w:id="42" w:name="X28c1d9c57eb0f73d2f6207fea4a34aaa44333b8"/>
    <w:p>
      <w:pPr>
        <w:pStyle w:val="Heading3"/>
      </w:pPr>
      <w:r>
        <w:t xml:space="preserve">4.4.2 Kiểm định tính ổn định theo thời gian: tính ổn định theo thời gian</w:t>
      </w:r>
    </w:p>
    <w:p>
      <w:pPr>
        <w:pStyle w:val="FirstParagraph"/>
      </w:pPr>
      <w:r>
        <w:t xml:space="preserve">Luận án đặt câu hỏi thực nghiệm quan trọng: liệu hình dạng phi tuyến và điểm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42"/>
    <w:bookmarkStart w:id="43"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43"/>
    <w:bookmarkStart w:id="44"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44"/>
    <w:bookmarkStart w:id="45"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45"/>
    <w:bookmarkStart w:id="46"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46"/>
    <w:bookmarkStart w:id="47"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p>
      <w:r>
        <w:pict>
          <v:rect style="width:0;height:1.5pt" o:hralign="center" o:hrstd="t" o:hr="t"/>
        </w:pict>
      </w:r>
    </w:p>
    <w:bookmarkEnd w:id="47"/>
    <w:bookmarkEnd w:id="48"/>
    <w:bookmarkStart w:id="56" w:name="Xdbd5cc67084304ba85b73781c0cb0c00b74055b"/>
    <w:p>
      <w:pPr>
        <w:pStyle w:val="Heading2"/>
      </w:pPr>
      <w:r>
        <w:t xml:space="preserve">4.5 Kết quả bối cảnh chuyển đổi bậc thấp–trung: Việt Nam (P3)</w:t>
      </w:r>
    </w:p>
    <w:bookmarkStart w:id="49"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49"/>
    <w:bookmarkStart w:id="50" w:name="điểm-điểm-uốn-theo-làn-sóng"/>
    <w:p>
      <w:pPr>
        <w:pStyle w:val="Heading3"/>
      </w:pPr>
      <w:r>
        <w:t xml:space="preserve">4.5.2 Điểm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50"/>
    <w:bookmarkStart w:id="51"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51"/>
    <w:bookmarkStart w:id="52"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bookmarkEnd w:id="52"/>
    <w:bookmarkStart w:id="53"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53"/>
    <w:bookmarkStart w:id="54"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54"/>
    <w:bookmarkStart w:id="55"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p>
      <w:r>
        <w:pict>
          <v:rect style="width:0;height:1.5pt" o:hralign="center" o:hrstd="t" o:hr="t"/>
        </w:pict>
      </w:r>
    </w:p>
    <w:bookmarkEnd w:id="55"/>
    <w:bookmarkEnd w:id="56"/>
    <w:bookmarkStart w:id="63" w:name="X561afa853383c674354c1acb167a55cae3a018f"/>
    <w:p>
      <w:pPr>
        <w:pStyle w:val="Heading2"/>
      </w:pPr>
      <w:r>
        <w:t xml:space="preserve">4.6 Kết quả kiểm định toàn mẫu đa bối cảnh châu Á (P7)</w:t>
      </w:r>
    </w:p>
    <w:bookmarkStart w:id="57"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4.4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4.4.</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57"/>
    <w:bookmarkStart w:id="61"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4.5.</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4.4.</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1. Họ đường cong I–P phụ thuộc chế độ thể chế ICRV" title="" id="59" name="Picture"/>
            <a:graphic>
              <a:graphicData uri="http://schemas.openxmlformats.org/drawingml/2006/picture">
                <pic:pic>
                  <pic:nvPicPr>
                    <pic:cNvPr descr="figures/fig_4_x_ip_curves_icrv_gradient.png" id="60" name="Picture"/>
                    <pic:cNvPicPr>
                      <a:picLocks noChangeArrowheads="1" noChangeAspect="1"/>
                    </pic:cNvPicPr>
                  </pic:nvPicPr>
                  <pic:blipFill>
                    <a:blip r:embed="rId58"/>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4.1. Họ đường cong I–P phụ thuộc chế độ thể chế ICRV</w:t>
      </w:r>
    </w:p>
    <w:p>
      <w:pPr>
        <w:pStyle w:val="BodyText"/>
      </w:pPr>
      <w:r>
        <w:rPr>
          <w:bCs/>
          <w:b/>
        </w:rPr>
        <w:t xml:space="preserve">Hình 4.1.</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61"/>
    <w:bookmarkStart w:id="62"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0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w:t>
      </w:r>
    </w:p>
    <w:p>
      <w:r>
        <w:pict>
          <v:rect style="width:0;height:1.5pt" o:hralign="center" o:hrstd="t" o:hr="t"/>
        </w:pict>
      </w:r>
    </w:p>
    <w:bookmarkEnd w:id="62"/>
    <w:bookmarkEnd w:id="63"/>
    <w:bookmarkStart w:id="71" w:name="X42f69945b56833cca239d45dc5864a7be6f74d7"/>
    <w:p>
      <w:pPr>
        <w:pStyle w:val="Heading2"/>
      </w:pPr>
      <w:r>
        <w:t xml:space="preserve">4.7 Kết quả trường hợp biên SIDS: Các nền kinh tế đảo nhỏ đang phát triển (P8)</w:t>
      </w:r>
    </w:p>
    <w:bookmarkStart w:id="64" w:name="đặc-điểm-mẫu-sids"/>
    <w:p>
      <w:pPr>
        <w:pStyle w:val="Heading3"/>
      </w:pPr>
      <w:r>
        <w:t xml:space="preserve">4.7.1 Đặc điểm mẫu SIDS</w:t>
      </w:r>
    </w:p>
    <w:p>
      <w:pPr>
        <w:pStyle w:val="FirstParagraph"/>
      </w:pPr>
      <w:r>
        <w:t xml:space="preserve">Phân tích P8 tập trung vào bảy quốc gia Pacific SIDS (Pacific Small Island Developing States,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64"/>
    <w:bookmarkStart w:id="65"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hiệu ứng cố định và year hiệu ứng cố định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điểm uốn trong phạm vi dữ liệu.</w:t>
      </w:r>
    </w:p>
    <w:bookmarkEnd w:id="65"/>
    <w:bookmarkStart w:id="66"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văn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văn liệu internationalization–firm performance cho khu vực Thái Bình Dương.</w:t>
      </w:r>
    </w:p>
    <w:bookmarkEnd w:id="66"/>
    <w:bookmarkStart w:id="67"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67"/>
    <w:bookmarkStart w:id="68"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68"/>
    <w:bookmarkStart w:id="69"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69"/>
    <w:bookmarkStart w:id="70" w:name="Xe1a17f66d148450e4340ea430e2b38d3bcbda19"/>
    <w:p>
      <w:pPr>
        <w:pStyle w:val="Heading3"/>
      </w:pPr>
      <w:r>
        <w:t xml:space="preserve">4.7.7 Độ bền của hệ số FIP qua các đặc tả và cơ chế năng lực không điều tiết</w:t>
      </w:r>
    </w:p>
    <w:p>
      <w:pPr>
        <w:pStyle w:val="FirstParagraph"/>
      </w:pPr>
      <w:r>
        <w:t xml:space="preserve">Hệ số FIP duy trì dấu âm và quy mô đáng kể qua một chuỗi đặc tả độ vững, củng cố tính cấu trúc của phát hiện.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I–P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p>
      <w:r>
        <w:pict>
          <v:rect style="width:0;height:1.5pt" o:hralign="center" o:hrstd="t" o:hr="t"/>
        </w:pict>
      </w:r>
    </w:p>
    <w:bookmarkEnd w:id="70"/>
    <w:bookmarkEnd w:id="71"/>
    <w:bookmarkStart w:id="75"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4.6.</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72"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72"/>
    <w:bookmarkStart w:id="73"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73"/>
    <w:bookmarkStart w:id="74"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p>
      <w:r>
        <w:pict>
          <v:rect style="width:0;height:1.5pt" o:hralign="center" o:hrstd="t" o:hr="t"/>
        </w:pict>
      </w:r>
    </w:p>
    <w:bookmarkEnd w:id="74"/>
    <w:bookmarkEnd w:id="75"/>
    <w:bookmarkStart w:id="79"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I–P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76"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gradient thể chế: chữ U ngược ở các chế độ chuyển đổi, gần tuyến tính ở biên trên, tan rã ở biên dưới.</w:t>
      </w:r>
    </w:p>
    <w:bookmarkEnd w:id="76"/>
    <w:bookmarkStart w:id="77"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Tier-1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pool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77"/>
    <w:bookmarkStart w:id="78"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gradient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I–P chuyển từ biên cường độ (ở các chế độ chuyển đổi) sang biên rộng (ở chế độ tiên tiến trưởng thành).</w:t>
      </w:r>
    </w:p>
    <w:bookmarkEnd w:id="78"/>
    <w:bookmarkEnd w:id="79"/>
    <w:bookmarkStart w:id="80"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văn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Tier-1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t xml:space="preserve">Bốn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80"/>
    <w:bookmarkStart w:id="81"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4.7 hợp nhất các ước lượng trụ cột của bảy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4.7.</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 I–P</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IV)</w:t>
            </w:r>
          </w:p>
        </w:tc>
        <w:tc>
          <w:tcPr/>
          <w:p>
            <w:pPr>
              <w:pStyle w:val="Compact"/>
              <w:jc w:val="left"/>
            </w:pPr>
            <w:r>
              <w:t xml:space="preserve">không có ý nghĩa (Tier-1)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4.559</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n/a</w:t>
            </w:r>
          </w:p>
        </w:tc>
      </w:tr>
      <w:tr>
        <w:tc>
          <w:tcPr/>
          <w:p>
            <w:pPr>
              <w:pStyle w:val="Compact"/>
              <w:jc w:val="left"/>
            </w:pPr>
            <w:r>
              <w:t xml:space="preserve">P6</w:t>
            </w:r>
          </w:p>
        </w:tc>
        <w:tc>
          <w:tcPr/>
          <w:p>
            <w:pPr>
              <w:pStyle w:val="Compact"/>
              <w:jc w:val="left"/>
            </w:pPr>
            <w:r>
              <w:t xml:space="preserve">Meta-analysis (toàn cầu)</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n/a</w:t>
            </w:r>
          </w:p>
        </w:tc>
        <w:tc>
          <w:tcPr/>
          <w:p>
            <w:pPr>
              <w:pStyle w:val="Compact"/>
              <w:jc w:val="left"/>
            </w:pPr>
            <w:r>
              <w:t xml:space="preserve">n/a</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SIDS Pacific (VI)</w:t>
            </w:r>
          </w:p>
        </w:tc>
        <w:tc>
          <w:tcPr/>
          <w:p>
            <w:pPr>
              <w:pStyle w:val="Compact"/>
              <w:jc w:val="right"/>
            </w:pPr>
            <w:r>
              <w:t xml:space="preserve">959</w:t>
            </w:r>
          </w:p>
        </w:tc>
        <w:tc>
          <w:tcPr/>
          <w:p>
            <w:pPr>
              <w:pStyle w:val="Compact"/>
              <w:jc w:val="left"/>
            </w:pPr>
            <w:r>
              <w:t xml:space="preserve">âm đơn điệu (FIP)</w:t>
            </w:r>
          </w:p>
        </w:tc>
        <w:tc>
          <w:tcPr/>
          <w:p>
            <w:pPr>
              <w:pStyle w:val="Compact"/>
              <w:jc w:val="left"/>
            </w:pPr>
            <w:r>
              <w:t xml:space="preserve">không có</w:t>
            </w:r>
          </w:p>
        </w:tc>
        <w:tc>
          <w:tcPr/>
          <w:p>
            <w:pPr>
              <w:pStyle w:val="Compact"/>
              <w:jc w:val="left"/>
            </w:pPr>
            <w:r>
              <w:t xml:space="preserve">n/a</w:t>
            </w:r>
          </w:p>
        </w:tc>
        <w:tc>
          <w:tcPr/>
          <w:p>
            <w:pPr>
              <w:pStyle w:val="Compact"/>
              <w:jc w:val="left"/>
            </w:pPr>
            <w:r>
              <w:t xml:space="preserve">β(FSTS)=−1,339***</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tổng hợp từ các nghiên cứu thành phần P3–P9. ** p &lt; ,01; *** p &lt; ,001. Điểm uốn xác nhận bằng kiểm định Lind–Mehlum (2010). Điểm uốn P7 = 43,6% ở mô hình đầy đủ M5 trên khung 50 nền (dải 43,6–51,5% giữa các đặc tả).</w:t>
      </w:r>
    </w:p>
    <w:p>
      <w:pPr>
        <w:pStyle w:val="BodyText"/>
      </w:pPr>
      <w:r>
        <w:t xml:space="preserve">Bảng 4.7 làm nổi bật ba quy luật xuyên suốt. Thứ nhất,</w:t>
      </w:r>
      <w:r>
        <w:t xml:space="preserve"> </w:t>
      </w:r>
      <w:r>
        <w:rPr>
          <w:bCs/>
          <w:b/>
        </w:rPr>
        <w:t xml:space="preserve">dạng hàm chữ U ngược là quy luật chứ không phải ngoại lệ</w:t>
      </w:r>
      <w:r>
        <w:t xml:space="preserve">, được xác nhận ở năm trong bảy nghiên cứu (P3, P5, P7, P9 và một phần P4), với hai trường hợp biên có ý nghĩa lý thuyết riêng: quan hệ âm đơn điệu tại SIDS (P8, FIP) và sự tan biến ngưỡng dưới biến động thể chế cực đoan tại Ấn Độ (P9). Thứ hai,</w:t>
      </w:r>
      <w:r>
        <w:t xml:space="preserve"> </w:t>
      </w:r>
      <w:r>
        <w:rPr>
          <w:bCs/>
          <w:b/>
        </w:rPr>
        <w:t xml:space="preserve">điểm uốn dịch theo chiều thể chế</w:t>
      </w:r>
      <w:r>
        <w:t xml:space="preserve">: từ ~88,6% ở Singapore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không có ý nghĩa tại Việt Nam (Tier-1)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−0,088, p=,026;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chỉ doanh nghiệp xuất khẩu NS do mẫu nhỏ (N=26)</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Tier-2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81"/>
    <w:bookmarkStart w:id="82"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8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2026-06-16T09:54:15Z</dcterms:created>
  <dcterms:modified xsi:type="dcterms:W3CDTF">2026-06-16T09:54:15Z</dcterms:modified>
</cp:coreProperties>
</file>

<file path=docProps/custom.xml><?xml version="1.0" encoding="utf-8"?>
<Properties xmlns="http://schemas.openxmlformats.org/officeDocument/2006/custom-properties" xmlns:vt="http://schemas.openxmlformats.org/officeDocument/2006/docPropsVTypes"/>
</file>