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49 nền kinh tế</w:t>
      </w:r>
      <w:r>
        <w:t xml:space="preserve">,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pool mô tả gồm 86.701 doanh nghiệp · 102 cặp nền kinh tế × năm</w:t>
      </w:r>
      <w:r>
        <w:t xml:space="preserve">, kế thừa và mở rộng từ pool 17 nền châu Á mới nổi (~40.633 doanh nghiệp) đã được tác giả công bố trước đó (Đỗ &amp; Phan, 2026 — VEFR). Khung phân loại thống nhất với bộ dữ liệu ước lượng của luận án (khung phân tích 91.982 doanh nghiệp / 49 nền; pool phân loại 96.415 doanh nghiệp / 52 nền).</w:t>
      </w:r>
    </w:p>
    <w:p>
      <w:pPr>
        <w:pStyle w:val="BlockText"/>
      </w:pPr>
      <w:r>
        <w:rPr>
          <w:iCs/>
          <w:i/>
        </w:rPr>
        <w:t xml:space="preserve">Ghi chú dữ liệu: Chuyên đề sử dụng hai khung dữ liệu bổ trợ, thống nhất về danh sách 49 nền kinh tế và nhãn nhóm ICRV. (i)</w:t>
      </w:r>
      <w:r>
        <w:rPr>
          <w:iCs/>
          <w:i/>
        </w:rPr>
        <w:t xml:space="preserve"> </w:t>
      </w:r>
      <w:r>
        <w:rPr>
          <w:bCs/>
          <w:b/>
          <w:iCs/>
          <w:i/>
        </w:rPr>
        <w:t xml:space="preserve">Pool mô tả</w:t>
      </w:r>
      <w:r>
        <w:rPr>
          <w:iCs/>
          <w:i/>
        </w:rPr>
        <w:t xml:space="preserve"> </w:t>
      </w:r>
      <w:r>
        <w:rPr>
          <w:iCs/>
          <w:i/>
        </w:rPr>
        <w:t xml:space="preserve">phục vụ toàn bộ thống kê §2.3.3–2.3.8: 86.701 doanh nghiệp · 102 cặp nền kinh tế × năm (2006–2026), tính trực tiếp từ tệp vi mô WBES — mỗi cặp nền kinh tế × năm lấy đúng một cross-section chuẩn (loại các điều tra phi chính thức, siêu nhỏ và panel mở rộng), chỉ nhận các đợt khảo sát từ 2006 trở đi khi WBES áp dụng bộ câu hỏi so sánh được toàn cầu. Pool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91.982 doanh nghiệp / 49 nền (pool phân loại 96.415 / 52 nền), được hợp nhất và hài hòa hóa theo quy trình tại Phụ lục A của luận án — mọi kết quả kinh tế lượng được dẫn chiếu theo khung này. Trường hợp biên SIDS: Nhóm VI gồm 8 nền (7 Pacific + Timor-Leste); mẫu chính của nghiên cứu SIDS là 7 nền Pacific.</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49 economies</w:t>
      </w:r>
      <w:r>
        <w:t xml:space="preserve">,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86,701 firms · 102 economy-year pairs</w:t>
      </w:r>
      <w:r>
        <w:t xml:space="preserve"> </w:t>
      </w:r>
      <w:r>
        <w:t xml:space="preserve">(one standard cross-section per economy-year, waves from 2006 onward), building on and extending the 17-economy pool of emerging Asia (~40,633 firms) previously published by the author (Do &amp; Phan, 2026 — VEFR). The classification is identical to the dissertation’s estimation dataset (analytic frame 91,982 firms / 49 economies;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(2006–2026)</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49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12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(pool mô tả 49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pool mô tả 86.701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mô tả theo 6 nhóm ICRV (n=86.701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(n=86.701)</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w:t>
      </w:r>
      <w:r>
        <w:t xml:space="preserve"> </w:t>
      </w:r>
      <w:r>
        <w:rPr>
          <w:bCs/>
          <w:b/>
        </w:rPr>
        <w:t xml:space="preserve">49 nền kinh tế</w:t>
      </w:r>
      <w:r>
        <w:t xml:space="preserve"> </w:t>
      </w:r>
      <w:r>
        <w:t xml:space="preserve">trên một giai đoạn dài. Chuyên đề này lấp khoảng trống thực tiễn đó với</w:t>
      </w:r>
      <w:r>
        <w:t xml:space="preserve"> </w:t>
      </w:r>
      <w:r>
        <w:rPr>
          <w:bCs/>
          <w:b/>
        </w:rPr>
        <w:t xml:space="preserve">pool mô tả gồm 86.701 doanh nghiệp · 102 cặp nền kinh tế × năm (2006–2026)</w:t>
      </w:r>
      <w:r>
        <w:t xml:space="preserve"> </w:t>
      </w:r>
      <w:r>
        <w:t xml:space="preserve">— gấp hơn 2 lần phạm vi của Đỗ &amp; Phan (2026 — VEFR) — và khung phân loại thống nhất với bộ dữ liệu ước lượng của luận án (91.982 doanh nghiệp / 49 nền; pool phân loại 96.415 DN / 52 nền).</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49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pool mô tả 86.701 doanh nghiệp · 102 cặp nền kinh tế × năm — xem ghi chú dữ liệu ở Tóm tắt.</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nhóm ICRV cho 49 nền kinh tế;</w:t>
      </w:r>
    </w:p>
    <w:p>
      <w:pPr>
        <w:numPr>
          <w:ilvl w:val="0"/>
          <w:numId w:val="1005"/>
        </w:numPr>
        <w:pStyle w:val="Compact"/>
      </w:pPr>
      <w:r>
        <w:t xml:space="preserve">Phân tích thực trạng đa chiều hiệu quả doanh nghiệp ở 41 nền kinh tế châu Á đại lục và Đông Á (phạm vi chính) và so sánh với 8 nền SIDS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nền kinh tế châu Á</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Chuyển đổi TB–thấp —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Pool mô tả phủ</w:t>
      </w:r>
      <w:r>
        <w:t xml:space="preserve"> </w:t>
      </w:r>
      <w:r>
        <w:rPr>
          <w:bCs/>
          <w:b/>
        </w:rPr>
        <w:t xml:space="preserve">đủ 49/49 nền</w:t>
      </w:r>
      <w:r>
        <w:t xml:space="preserve">: Nhóm I 5/5, II 6/6 (đủ khối GCC), III 6/6, IV 7/7, V 17/17 (gồm Lebanon, Yemen), VI 8/8 (7 Pacific + Timor-Leste).</w:t>
      </w:r>
    </w:p>
    <w:p>
      <w:pPr>
        <w:pStyle w:val="FirstParagraph"/>
      </w:pPr>
      <w:r>
        <w:rPr>
          <w:bCs/>
          <w:b/>
        </w:rPr>
        <w:t xml:space="preserve">B. Trường hợp biên mở rộng — Nhóm VI SIDS (8 nền, n=2.295, 2,6% pool)</w:t>
      </w:r>
      <w:r>
        <w:t xml:space="preserve">: Fiji, Papua New Guinea, Solomon Islands, Tonga, Vanuatu, Samoa, Kiribati (2025) và Timor-Leste. Mẫu chính của nghiên cứu chuyên sâu SIDS là 7 nền Thái Bình Dương (n=1.781).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102 cặp nền kinh tế × năm). Ba thế hệ schema WBES trong pool mô tả: PICS3/tiền-Standardized (2006–2012, 18 đợt, n=8.048), Standardized (2013–2017, 27 đợt, n=23.940), BREADY/BEE/EAP Core (2018–2026, 57 đợt, n=54.713 — chiếm 63,1% pool).</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49 nền kinh tế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2006–2026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Hai nhóm cùng mức thu nhập cao nhưng cấu trúc năng lực đối lập: R&amp;D 20,5% so với 7,0%; doanh nghiệp xuất khẩu 28,4% so với 11,7%; nữ quản lý cấp cao 27,5% so với 4,6% — phản ánh hai cơ chế tăng trưởng hoàn toàn khác nhau.</w:t>
      </w:r>
    </w:p>
    <w:p>
      <w:pPr>
        <w:numPr>
          <w:ilvl w:val="0"/>
          <w:numId w:val="1006"/>
        </w:numPr>
      </w:pPr>
      <w:r>
        <w:rPr>
          <w:bCs/>
          <w:b/>
        </w:rPr>
        <w:t xml:space="preserve">Nhảy vọt số</w:t>
      </w:r>
      <w:r>
        <w:t xml:space="preserve"> </w:t>
      </w:r>
      <w:r>
        <w:t xml:space="preserve">ở các nhóm đang nổi và chuyển đổi 2018–2026 — mở rộng pattern từ 17 nền lên 49 nền. Phân tách Tier-1 (website nhị phân, tiệm cận bão hòa ở Advanced) và Tier-2 (tổng hợp đa thành phần, đang phát triển ở các nhóm IV–VI).</w:t>
      </w:r>
    </w:p>
    <w:p>
      <w:pPr>
        <w:numPr>
          <w:ilvl w:val="0"/>
          <w:numId w:val="1006"/>
        </w:numPr>
      </w:pPr>
      <w:r>
        <w:rPr>
          <w:bCs/>
          <w:b/>
        </w:rPr>
        <w:t xml:space="preserve">Bằng chứng cho khung lý thuyết phi tuyến và điều tiết đa tầng</w:t>
      </w:r>
      <w:r>
        <w:t xml:space="preserve"> </w:t>
      </w:r>
      <w:r>
        <w:t xml:space="preserve">— gradient cường độ rõ rệt của các hệ số tương quan xuyên 6 nhóm thể chế (đặc biệt: tương quan FSTS–năng suất giảm dần từ +0,163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Các bảng thống kê mô tả §2.3.3–2.3.8 dưới đây được tính trên</w:t>
      </w:r>
      <w:r>
        <w:t xml:space="preserve"> </w:t>
      </w:r>
      <w:r>
        <w:rPr>
          <w:bCs/>
          <w:b/>
        </w:rPr>
        <w:t xml:space="preserve">pool mô tả gồm 86.701 doanh nghiệp · 49 nền kinh tế · 102 cặp nền kinh tế × năm (2006–2026)</w:t>
      </w:r>
      <w:r>
        <w:t xml:space="preserve"> </w:t>
      </w:r>
      <w:r>
        <w:t xml:space="preserve">— mỗi cặp nền kinh tế × năm lấy đúng một cross-section chuẩn, chỉ nhận đợt khảo sát từ 2006 trở đi (xem ghi chú dữ liệu ở Tóm tắt và Phụ lục A). Khung phân loại thống nhất với bộ dữ liệu ước lượng của luận án: 49 nền kinh tế (91.982 doanh nghiệp; pool phân loại 96.415 DN / 52 nền).</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 tỷ suất sinh lời trên doanh thu); (c) trong khung ước lượng của luận án, LP được chuẩn hóa z-score trong từng cặp nền kinh tế × năm và mô hình luôn có hiệu ứng cố định quốc gia (Phụ lục A của luận án). Giá trị LP được winsorize ở mức 1/99 phân vị trong cụm quốc gia × năm để kiểm soát ngoại lai.</w:t>
      </w:r>
    </w:p>
    <w:p>
      <w:pPr>
        <w:numPr>
          <w:ilvl w:val="0"/>
          <w:numId w:val="1008"/>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văn liệu I–P (Lu &amp; Beamish, 2001; Sullivan, 1994). Hai cách thao tác hóa trả lời hai câu hỏi bổ trợ —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 và được ghi rõ trong phần dữ liệu của từng nghiên cứu.</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2006–2026):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(2006–2012, 18 đợt, n=8.048): bảng hỏi PICS3 cho khu vực Đông Nam Á và Trung Á. Thế hệ 2 — Standardized (2013–2017, 27 đợt, n=23.940): áp dụng đồng nhất xuyên toàn cầu từ 2013. Thế hệ 3 — BREADY/BEE/EAP Core (2018–2026, 57 đợt, n=54.713):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(49 nền kinh tế châu Á và Thái Bình Dương, phân tách 41 phạm vi chính và 8 trường hợp biên); (ii) quy trình lấy mẫu (lấy mẫu chính thức WBES); (iii) lý giải quy mô mẫu (pool mô tả 86.701 DN / 102 cặp; khung ước lượng 91.982 DN; pool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(12 nền kinh tế, n=14.712 doanh nghiệp, 17,0% pool)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49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gradient cường độ của các hệ số tương quan FDI/FSTS/TCI/DAI xuyên 6 nhóm ICRV — đặc biệt việc tương quan FSTS–năng suất giảm dần và mất ý nghĩa ở SIDS (Bảng 2.3.8.1) —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 —</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(pool mô tả 86.701 DN; khung ước lượng 91.982 DN / 49 nền)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49 nền kinh tế châu Á (khung phân tích).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trong đợt thấp nhất sáu nhóm (~1,04 — phân tán hẹp, ít phân bổ sai).</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 đặc trưng nhà nước tô san bằng phân phối).</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doanh nghiệp xuất khẩu tăng mạnh giữa hai kỳ khảo sát (+12,5 điểm phần trăm).</w:t>
            </w:r>
          </w:p>
        </w:tc>
      </w:tr>
      <w:tr>
        <w:tc>
          <w:tcPr/>
          <w:p>
            <w:pPr>
              <w:pStyle w:val="Compact"/>
              <w:jc w:val="left"/>
            </w:pPr>
            <w:r>
              <w:rPr>
                <w:bCs/>
                <w:b/>
              </w:rPr>
              <w:t xml:space="preserve">Nhóm IV — Chuyển đổi thu nhập trung bình–thấp (Lower-middle transition)</w:t>
            </w:r>
            <w:r>
              <w:t xml:space="preserve">: WGI Rule of Law -0,50 → 0,00; GNI bình quân đầu người 1.000–5.000 USD; tốc độ tăng trưởng cao nhưng gap de jure–de facto lớn (Xu, 2024); sản xuất FDI-driven dẫn dắt xuất khẩu ở khối ASEAN. Pattern WBES: FSTS phân cực cao/thấp trong nội bộ nhóm; FDI thấp nhất (3,1%) do doanh nghiệp nội địa chi phối mẫu.</w:t>
            </w:r>
          </w:p>
        </w:tc>
      </w:tr>
      <w:tr>
        <w:tc>
          <w:tcPr/>
          <w:p>
            <w:pPr>
              <w:pStyle w:val="Compact"/>
              <w:jc w:val="left"/>
            </w:pPr>
            <w:r>
              <w:rPr>
                <w:bCs/>
                <w:b/>
              </w:rPr>
              <w:t xml:space="preserve">Nhóm V — Đang nổi (Emerging)</w:t>
            </w:r>
            <w:r>
              <w:t xml:space="preserve">: WGI Rule of Law &lt; -0,50 hoặc voids thể chế lớn; GNI bình quân đầu người phần lớn &lt;3.000 USD; gồm nhiều nền đang qua giai đoạn xung đột hoặc chuyển đổi sau xung đột. Pattern WBES: phân tán năng suất trong đợt cao nhất (sd ~1,39; P90/P10 ~30 lần), nhưng đổi mới sản phẩm khá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n=2.295 (2,6% pool); FDI cao nhất (20,0% — do MNE du lịch/viễn thông); đổi mới sản phẩm cao nhất (34,2% — đổi mới bằng nguồn lực hạn chế); website khá cao ngoại trừ Kiribati (18,7%).</w:t>
            </w:r>
          </w:p>
        </w:tc>
      </w:tr>
      <w:tr>
        <w:tc>
          <w:tcPr/>
          <w:p>
            <w:pPr>
              <w:pStyle w:val="Compact"/>
              <w:jc w:val="left"/>
            </w:pPr>
            <w:r>
              <w:t xml:space="preserve">#### 2.3.2.3 Danh sách 49 nền kinh tế theo nhóm ICRV (căn theo nhãn dữ liệu)</w:t>
            </w:r>
          </w:p>
        </w:tc>
      </w:tr>
      <w:tr>
        <w:tc>
          <w:tcPr/>
          <w:p>
            <w:pPr>
              <w:pStyle w:val="Compact"/>
              <w:jc w:val="left"/>
            </w:pPr>
            <w:r>
              <w:rPr>
                <w:bCs/>
                <w:b/>
              </w:rPr>
              <w:t xml:space="preserve">Bảng 2.3.2.1</w:t>
            </w:r>
            <w:r>
              <w:t xml:space="preserve">.</w:t>
            </w:r>
            <w:r>
              <w:t xml:space="preserve"> </w:t>
            </w:r>
            <w:r>
              <w:rPr>
                <w:iCs/>
                <w:i/>
              </w:rPr>
              <w:t xml:space="preserve">Phân loại 49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c>
      </w:tr>
      <w:tr>
        <w:tc>
          <w:tcPr/>
          <w:p>
            <w:pPr>
              <w:pStyle w:val="Compact"/>
              <w:jc w:val="left"/>
            </w:pPr>
            <w:r>
              <w:t xml:space="preserve">| Nhóm ICRV (icrv_label) | Tên nhóm | Quốc gia | N doanh nghiệp |</w:t>
            </w:r>
            <w:r>
              <w:t xml:space="preserve"> </w:t>
            </w:r>
            <w:r>
              <w:t xml:space="preserve">|—|—|—|:–:|</w:t>
            </w:r>
            <w:r>
              <w:t xml:space="preserve"> </w:t>
            </w:r>
            <w:r>
              <w:t xml:space="preserve">|</w:t>
            </w:r>
            <w:r>
              <w:t xml:space="preserve"> </w:t>
            </w:r>
            <w:r>
              <w:rPr>
                <w:bCs/>
                <w:b/>
              </w:rPr>
              <w:t xml:space="preserve">I</w:t>
            </w:r>
            <w:r>
              <w:t xml:space="preserve"> </w:t>
            </w:r>
            <w:r>
              <w:t xml:space="preserve">—</w:t>
            </w:r>
            <w:r>
              <w:t xml:space="preserve"> </w:t>
            </w:r>
            <w:r>
              <w:rPr>
                <w:rStyle w:val="VerbatimChar"/>
              </w:rPr>
              <w:t xml:space="preserve">Advanced_innovation</w:t>
            </w:r>
            <w:r>
              <w:t xml:space="preserve"> </w:t>
            </w:r>
            <w:r>
              <w:t xml:space="preserve">| Advanced — đổi mới sáng tạo | Singapore, Hong Kong SAR, Hàn Quốc, Đài Loan, Israel | 4.222 |</w:t>
            </w:r>
            <w:r>
              <w:t xml:space="preserve"> </w:t>
            </w:r>
            <w:r>
              <w:t xml:space="preserve">|</w:t>
            </w:r>
            <w:r>
              <w:t xml:space="preserve"> </w:t>
            </w:r>
            <w:r>
              <w:rPr>
                <w:bCs/>
                <w:b/>
              </w:rPr>
              <w:t xml:space="preserve">II</w:t>
            </w:r>
            <w:r>
              <w:t xml:space="preserve"> </w:t>
            </w:r>
            <w:r>
              <w:t xml:space="preserve">—</w:t>
            </w:r>
            <w:r>
              <w:t xml:space="preserve"> </w:t>
            </w:r>
            <w:r>
              <w:rPr>
                <w:rStyle w:val="VerbatimChar"/>
              </w:rPr>
              <w:t xml:space="preserve">Advanced_resource</w:t>
            </w:r>
            <w:r>
              <w:t xml:space="preserve"> </w:t>
            </w:r>
            <w:r>
              <w:t xml:space="preserve">| Advanced — tài nguyên | Saudi Arabia, Qatar, Kuwait, Bahrain, Brunei, Oman | 2.269 |</w:t>
            </w:r>
            <w:r>
              <w:t xml:space="preserve"> </w:t>
            </w:r>
            <w:r>
              <w:t xml:space="preserve">|</w:t>
            </w:r>
            <w:r>
              <w:t xml:space="preserve"> </w:t>
            </w:r>
            <w:r>
              <w:rPr>
                <w:bCs/>
                <w:b/>
              </w:rPr>
              <w:t xml:space="preserve">III</w:t>
            </w:r>
            <w:r>
              <w:t xml:space="preserve"> </w:t>
            </w:r>
            <w:r>
              <w:t xml:space="preserve">—</w:t>
            </w:r>
            <w:r>
              <w:t xml:space="preserve"> </w:t>
            </w:r>
            <w:r>
              <w:rPr>
                <w:rStyle w:val="VerbatimChar"/>
              </w:rPr>
              <w:t xml:space="preserve">Upper_mid</w:t>
            </w:r>
            <w:r>
              <w:t xml:space="preserve"> </w:t>
            </w:r>
            <w:r>
              <w:t xml:space="preserve">| Trung bình cao | Trung Quốc, Malaysia, Thái Lan, Kazakhstan, Armenia, Georgia | 13.993 |</w:t>
            </w:r>
            <w:r>
              <w:t xml:space="preserve"> </w:t>
            </w:r>
            <w:r>
              <w:t xml:space="preserve">|</w:t>
            </w:r>
            <w:r>
              <w:t xml:space="preserve"> </w:t>
            </w:r>
            <w:r>
              <w:rPr>
                <w:bCs/>
                <w:b/>
              </w:rPr>
              <w:t xml:space="preserve">IV</w:t>
            </w:r>
            <w:r>
              <w:t xml:space="preserve"> </w:t>
            </w:r>
            <w:r>
              <w:t xml:space="preserve">—</w:t>
            </w:r>
            <w:r>
              <w:t xml:space="preserve"> </w:t>
            </w:r>
            <w:r>
              <w:rPr>
                <w:rStyle w:val="VerbatimChar"/>
              </w:rPr>
              <w:t xml:space="preserve">Lower_mid_transition</w:t>
            </w:r>
            <w:r>
              <w:t xml:space="preserve"> </w:t>
            </w:r>
            <w:r>
              <w:t xml:space="preserve">| Chuyển đổi thu nhập trung bình–thấp | Việt Nam, Ấn Độ, Indonesia, Philippines, Mông Cổ, Bangladesh, Pakistan | 50.926 |</w:t>
            </w:r>
            <w:r>
              <w:t xml:space="preserve"> </w:t>
            </w:r>
            <w:r>
              <w:t xml:space="preserve">|</w:t>
            </w:r>
            <w:r>
              <w:t xml:space="preserve"> </w:t>
            </w:r>
            <w:r>
              <w:rPr>
                <w:bCs/>
                <w:b/>
              </w:rPr>
              <w:t xml:space="preserve">V</w:t>
            </w:r>
            <w:r>
              <w:t xml:space="preserve"> </w:t>
            </w:r>
            <w:r>
              <w:t xml:space="preserve">—</w:t>
            </w:r>
            <w:r>
              <w:t xml:space="preserve"> </w:t>
            </w:r>
            <w:r>
              <w:rPr>
                <w:rStyle w:val="VerbatimChar"/>
              </w:rPr>
              <w:t xml:space="preserve">Emerging</w:t>
            </w:r>
            <w:r>
              <w:t xml:space="preserve"> </w:t>
            </w:r>
            <w:r>
              <w:t xml:space="preserve">| Đang nổi | Sri Lanka, Jordan, Lào, Campuchia, Myanmar, Nepal, Bhutan, Maldives, Uzbekistan, Tajikistan, Kyrgyzstan, Turkmenistan, Afghanistan, Azerbaijan, Iraq, Lebanon, Yemen (17 nước) | 18.569 |</w:t>
            </w:r>
            <w:r>
              <w:t xml:space="preserve"> </w:t>
            </w:r>
            <w:r>
              <w:t xml:space="preserve">|</w:t>
            </w:r>
            <w:r>
              <w:t xml:space="preserve"> </w:t>
            </w:r>
            <w:r>
              <w:rPr>
                <w:bCs/>
                <w:b/>
              </w:rPr>
              <w:t xml:space="preserve">VI</w:t>
            </w:r>
            <w:r>
              <w:t xml:space="preserve"> </w:t>
            </w:r>
            <w:r>
              <w:t xml:space="preserve">—</w:t>
            </w:r>
            <w:r>
              <w:t xml:space="preserve"> </w:t>
            </w:r>
            <w:r>
              <w:rPr>
                <w:rStyle w:val="VerbatimChar"/>
              </w:rPr>
              <w:t xml:space="preserve">SIDS_small</w:t>
            </w:r>
            <w:r>
              <w:t xml:space="preserve"> </w:t>
            </w:r>
            <w:r>
              <w:t xml:space="preserve">| SIDS (trường hợp biên) | Fiji, Kiribati, Papua New Guinea, Samoa, Solomon Islands, Tonga, Vanuatu, Timor-Leste | 1.885 |</w:t>
            </w:r>
            <w:r>
              <w:t xml:space="preserve"> </w:t>
            </w:r>
            <w:r>
              <w:t xml:space="preserve">|</w:t>
            </w:r>
            <w:r>
              <w:t xml:space="preserve"> </w:t>
            </w:r>
            <w:r>
              <w:rPr>
                <w:bCs/>
                <w:b/>
              </w:rPr>
              <w:t xml:space="preserve">Tổng</w:t>
            </w:r>
            <w:r>
              <w:t xml:space="preserve"> </w:t>
            </w:r>
            <w:r>
              <w:t xml:space="preserve">| |</w:t>
            </w:r>
            <w:r>
              <w:t xml:space="preserve"> </w:t>
            </w:r>
            <w:r>
              <w:rPr>
                <w:bCs/>
                <w:b/>
              </w:rPr>
              <w:t xml:space="preserve">49 nền kinh tế</w:t>
            </w:r>
            <w:r>
              <w:t xml:space="preserve"> </w:t>
            </w:r>
            <w:r>
              <w:t xml:space="preserve">|</w:t>
            </w:r>
            <w:r>
              <w:t xml:space="preserve"> </w:t>
            </w:r>
            <w:r>
              <w:rPr>
                <w:bCs/>
                <w:b/>
              </w:rPr>
              <w:t xml:space="preserve">91.864</w:t>
            </w:r>
            <w:r>
              <w:t xml:space="preserve"> </w:t>
            </w:r>
            <w:r>
              <w:t xml:space="preserve">(≈91.982 mẫu phân tích) |</w:t>
            </w:r>
          </w:p>
        </w:tc>
      </w:tr>
      <w:tr>
        <w:tc>
          <w:tcPr/>
          <w:p>
            <w:pPr>
              <w:pStyle w:val="Compact"/>
              <w:jc w:val="left"/>
            </w:pPr>
            <w:r>
              <w:rPr>
                <w:iCs/>
                <w:i/>
              </w:rPr>
              <w:t xml:space="preserve">Ghi chú: Cột N theo khung phân tích của bộ dữ liệu ước lượng (91.864 quan sát phân nhóm; tổng mẫu phân tích ≈91.982). Nhãn nhóm theo biến phân loại</w:t>
            </w:r>
            <w:r>
              <w:rPr>
                <w:iCs/>
                <w:i/>
              </w:rPr>
              <w:t xml:space="preserve"> </w:t>
            </w:r>
            <w:r>
              <w:rPr>
                <w:rStyle w:val="VerbatimChar"/>
                <w:iCs/>
                <w:i/>
              </w:rPr>
              <w:t xml:space="preserve">icrv_label</w:t>
            </w:r>
            <w:r>
              <w:rPr>
                <w:iCs/>
                <w:i/>
              </w:rPr>
              <w:t xml:space="preserve">, dùng thống nhất trong luận án và hai chuyên đề. Pool phân loại đầy đủ = 96.415 DN/52 nền (gồm Comoros, Turkey, Cyprus ngoài châu Á — loại khỏi khung 49 nền). SIDS: mẫu chính của nghiên cứu chuyên sâu SIDS là 7 nền Pacific; kiểm định bền vững mở rộng 9 nền. Nhật Bản được WBES khảo sát lần đầu năm 2025 (sau thời điểm chốt khung phân tích) nên không thuộc khung 49 nền; đây là hướng mở rộng tự nhiên cho nghiên cứu tiếp theo.</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(trong đợt) | Cơ chế quốc tế hóa → hiệu quả |</w:t>
            </w:r>
            <w:r>
              <w:t xml:space="preserve"> </w:t>
            </w:r>
            <w:r>
              <w:t xml:space="preserve">|—|—|—|—|—|—|—|</w:t>
            </w:r>
            <w:r>
              <w:t xml:space="preserve"> </w:t>
            </w:r>
            <w:r>
              <w:t xml:space="preserve">| I — Innovation | &gt;+0,80 | &gt;$30k | R&amp;D + dịch vụ tri thức | Trung bình (6–15%) | ~1,04 | U ngược nhẹ / tuyến tính dương; điểm uốn ~88,6% (SG) |</w:t>
            </w:r>
            <w:r>
              <w:t xml:space="preserve"> </w:t>
            </w:r>
            <w:r>
              <w:t xml:space="preserve">| II — Resource | +0,00→+0,50 | &gt;$20k | Xuất khẩu dầu/khí | Thấp (1–4%) | ~1,14 | Phi tuyến suy yếu; nhà nước tô phân phối lại |</w:t>
            </w:r>
            <w:r>
              <w:t xml:space="preserve"> </w:t>
            </w:r>
            <w:r>
              <w:t xml:space="preserve">| III — Upper-mid | 0,00→+0,80 | $5k–$20k | Sản xuất + chuyển đổi | Trung bình (8–12%) | ~1,37 | U ngược; điểm uốn ~47% |</w:t>
            </w:r>
            <w:r>
              <w:t xml:space="preserve"> </w:t>
            </w:r>
            <w:r>
              <w:t xml:space="preserve">| IV — Lower-mid transition | -0,50→0,00 | $1k–$5k | FDI-driven sản xuất | Biến động (7–23%) | ~1,31 | U ngược; điểm uốn 39–46% (VNM) — bẫy chuyển hướng nguồn lực |</w:t>
            </w:r>
            <w:r>
              <w:t xml:space="preserve"> </w:t>
            </w:r>
            <w:r>
              <w:t xml:space="preserve">| V — Emerging | &lt;-0,50 | &lt;$1k–$3k | Tự cấp + phi chính thức | Thấp–trung bình | ~1,39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Pattern quốc tế hóa → hiệu quả từ các nghiên cứu thành phần của luận án (Đỗ &amp; Phan, 2026 — VEFR, JABS, JFAR, MIR).</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Pool mô tả gồm</w:t>
      </w:r>
      <w:r>
        <w:t xml:space="preserve"> </w:t>
      </w:r>
      <w:r>
        <w:rPr>
          <w:bCs/>
          <w:b/>
        </w:rPr>
        <w:t xml:space="preserve">86.701 doanh nghiệp</w:t>
      </w:r>
      <w:r>
        <w:t xml:space="preserve">, 49 nền kinh tế,</w:t>
      </w:r>
      <w:r>
        <w:t xml:space="preserve"> </w:t>
      </w:r>
      <w:r>
        <w:rPr>
          <w:bCs/>
          <w:b/>
        </w:rPr>
        <w:t xml:space="preserve">102 cặp nền kinh tế × năm</w:t>
      </w:r>
      <w:r>
        <w:t xml:space="preserve">, giai đoạn 2006–2026 (bao gồm Kiribati 2025 — đợt khảo sát WBES đầu tiên của nền kinh tế này). Tổng hợp này kế thừa và mở rộng từ pool 17 nền châu Á mới nổi (~40.633 doanh nghiệp) của Đỗ &amp; Phan (2026 — VEFR), gấp hơn 2 lần. Phân bố theo nhóm ICRV: Nhóm IV Chuyển đổi TB-thấp 45.003 (51,9%), Nhóm V Đang nổi 18.957 (21,9%), Nhóm III Trung bình cao 13.993 (16,1%), Nhóm I Advanced đổi mới 4.222 (4,9%), Nhóm VI SIDS 2.295 (2,6%), Nhóm II Advanced tài nguyên 2.231 (2,6%). Có</w:t>
      </w:r>
      <w:r>
        <w:t xml:space="preserve"> </w:t>
      </w:r>
      <w:r>
        <w:rPr>
          <w:bCs/>
          <w:b/>
        </w:rPr>
        <w:t xml:space="preserve">12 nền kinh tế khảo sát năm 2025</w:t>
      </w:r>
      <w:r>
        <w:t xml:space="preserve"> </w:t>
      </w:r>
      <w:r>
        <w:t xml:space="preserve">với 14.712 doanh nghiệp (17,0% pool); đợt khảo sát Nepal 2025 dùng bảng hỏi BREADY Micro (doanh nghiệp siêu nhỏ) — không phải cross-section chuẩn nên không thuộc pool, chỉ được nhắc đến như tham chiếu.</w:t>
      </w:r>
    </w:p>
    <w:p>
      <w:pPr>
        <w:pStyle w:val="BodyText"/>
      </w:pPr>
      <w:r>
        <w:rPr>
          <w:iCs/>
          <w:i/>
        </w:rPr>
        <w:t xml:space="preserve">Hình 2.3.3.1. Phân bố pool mô tả 86.701 doanh nghiệp (2006–2026) theo 3 thế hệ schema WBES: PICS3 (2006–2012, 18 đợt, n=8.048), Standardized (2013–2017, 27 đợt, n=23.940), BREADY (2018–2026, 57 đợt, n=54.713). Các đợt 2024–2026 đóng góp 25.691 doanh nghiệp (29,6% pool, 30 đợt) — phản ánh chu kỳ khảo sát WBES dày lên rõ rệt sau đại dịch.</w:t>
      </w:r>
    </w:p>
    <w:p>
      <w:pPr>
        <w:pStyle w:val="BodyText"/>
      </w:pPr>
      <w:r>
        <w:rPr>
          <w:iCs/>
          <w:i/>
        </w:rPr>
        <w:t xml:space="preserve">Hình 2.3.3.2. Bar chart phân bố theo 6 nhóm ICRV: IV Chuyển đổi TB-thấp (45.003, 51,9%), V Đang nổi (18.957, 21,9%), III Trung bình cao (13.993, 16,1%), I Advanced đổi mới (4.222, 4,9%), VI SIDS (2.295, 2,6%), II Advanced tài nguyên (2.231, 2,6%).</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w:t>
      </w:r>
      <w:r>
        <w:t xml:space="preserve">— trên thang log, thừa số quy đổi tiền tệ là hằng số cộng và triệt tiêu hoàn toàn trong độ lệch chuẩn và các tỷ số phân vị —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pool mô tả 102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 Advanced đổi mới</w:t>
            </w:r>
          </w:p>
        </w:tc>
        <w:tc>
          <w:tcPr/>
          <w:p>
            <w:pPr>
              <w:pStyle w:val="Compact"/>
              <w:jc w:val="right"/>
            </w:pPr>
            <w:r>
              <w:t xml:space="preserve">6</w:t>
            </w:r>
          </w:p>
        </w:tc>
        <w:tc>
          <w:tcPr/>
          <w:p>
            <w:pPr>
              <w:pStyle w:val="Compact"/>
              <w:jc w:val="right"/>
            </w:pPr>
            <w:r>
              <w:t xml:space="preserve">3.620</w:t>
            </w:r>
          </w:p>
        </w:tc>
        <w:tc>
          <w:tcPr/>
          <w:p>
            <w:pPr>
              <w:pStyle w:val="Compact"/>
              <w:jc w:val="right"/>
            </w:pPr>
            <w:r>
              <w:rPr>
                <w:bCs/>
                <w:b/>
              </w:rPr>
              <w:t xml:space="preserve">1,04</w:t>
            </w:r>
          </w:p>
        </w:tc>
        <w:tc>
          <w:tcPr/>
          <w:p>
            <w:pPr>
              <w:pStyle w:val="Compact"/>
              <w:jc w:val="right"/>
            </w:pPr>
            <w:r>
              <w:rPr>
                <w:bCs/>
                <w:b/>
              </w:rPr>
              <w:t xml:space="preserve">12,2</w:t>
            </w:r>
          </w:p>
        </w:tc>
        <w:tc>
          <w:tcPr/>
          <w:p>
            <w:pPr>
              <w:pStyle w:val="Compact"/>
              <w:jc w:val="right"/>
            </w:pPr>
            <w:r>
              <w:t xml:space="preserve">3,5</w:t>
            </w:r>
          </w:p>
        </w:tc>
      </w:tr>
      <w:tr>
        <w:tc>
          <w:tcPr/>
          <w:p>
            <w:pPr>
              <w:pStyle w:val="Compact"/>
              <w:jc w:val="left"/>
            </w:pPr>
            <w:r>
              <w:t xml:space="preserve">II —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1,14</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 Trung bình cao</w:t>
            </w:r>
          </w:p>
        </w:tc>
        <w:tc>
          <w:tcPr/>
          <w:p>
            <w:pPr>
              <w:pStyle w:val="Compact"/>
              <w:jc w:val="right"/>
            </w:pPr>
            <w:r>
              <w:t xml:space="preserve">17</w:t>
            </w:r>
          </w:p>
        </w:tc>
        <w:tc>
          <w:tcPr/>
          <w:p>
            <w:pPr>
              <w:pStyle w:val="Compact"/>
              <w:jc w:val="right"/>
            </w:pPr>
            <w:r>
              <w:t xml:space="preserve">12.481</w:t>
            </w:r>
          </w:p>
        </w:tc>
        <w:tc>
          <w:tcPr/>
          <w:p>
            <w:pPr>
              <w:pStyle w:val="Compact"/>
              <w:jc w:val="right"/>
            </w:pPr>
            <w:r>
              <w:t xml:space="preserve">1,37</w:t>
            </w:r>
          </w:p>
        </w:tc>
        <w:tc>
          <w:tcPr/>
          <w:p>
            <w:pPr>
              <w:pStyle w:val="Compact"/>
              <w:jc w:val="right"/>
            </w:pPr>
            <w:r>
              <w:t xml:space="preserve">25,0</w:t>
            </w:r>
          </w:p>
        </w:tc>
        <w:tc>
          <w:tcPr/>
          <w:p>
            <w:pPr>
              <w:pStyle w:val="Compact"/>
              <w:jc w:val="right"/>
            </w:pPr>
            <w:r>
              <w:t xml:space="preserve">5,4</w:t>
            </w:r>
          </w:p>
        </w:tc>
      </w:tr>
      <w:tr>
        <w:tc>
          <w:tcPr/>
          <w:p>
            <w:pPr>
              <w:pStyle w:val="Compact"/>
              <w:jc w:val="left"/>
            </w:pPr>
            <w:r>
              <w:t xml:space="preserve">IV —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1,31</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 Đang nổi</w:t>
            </w:r>
          </w:p>
        </w:tc>
        <w:tc>
          <w:tcPr/>
          <w:p>
            <w:pPr>
              <w:pStyle w:val="Compact"/>
              <w:jc w:val="right"/>
            </w:pPr>
            <w:r>
              <w:t xml:space="preserve">40</w:t>
            </w:r>
          </w:p>
        </w:tc>
        <w:tc>
          <w:tcPr/>
          <w:p>
            <w:pPr>
              <w:pStyle w:val="Compact"/>
              <w:jc w:val="right"/>
            </w:pPr>
            <w:r>
              <w:t xml:space="preserve">16.595</w:t>
            </w:r>
          </w:p>
        </w:tc>
        <w:tc>
          <w:tcPr/>
          <w:p>
            <w:pPr>
              <w:pStyle w:val="Compact"/>
              <w:jc w:val="right"/>
            </w:pPr>
            <w:r>
              <w:rPr>
                <w:bCs/>
                <w:b/>
              </w:rPr>
              <w:t xml:space="preserve">1,39</w:t>
            </w:r>
          </w:p>
        </w:tc>
        <w:tc>
          <w:tcPr/>
          <w:p>
            <w:pPr>
              <w:pStyle w:val="Compact"/>
              <w:jc w:val="right"/>
            </w:pPr>
            <w:r>
              <w:rPr>
                <w:bCs/>
                <w:b/>
              </w:rPr>
              <w:t xml:space="preserve">30,3</w:t>
            </w:r>
          </w:p>
        </w:tc>
        <w:tc>
          <w:tcPr/>
          <w:p>
            <w:pPr>
              <w:pStyle w:val="Compact"/>
              <w:jc w:val="right"/>
            </w:pPr>
            <w:r>
              <w:t xml:space="preserve">5,8</w:t>
            </w:r>
          </w:p>
        </w:tc>
      </w:tr>
      <w:tr>
        <w:tc>
          <w:tcPr/>
          <w:p>
            <w:pPr>
              <w:pStyle w:val="Compact"/>
              <w:jc w:val="left"/>
            </w:pPr>
            <w:r>
              <w:t xml:space="preserve">VI —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1,32</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 đặc trưng nhà nước tô; trung vị nhóm bị kéo lên bởi các nền nhỏ (Kuwait 1,16; Brunei 1,12). Kiribati 2025: sd 1,48 — rộng nhất trong các đợt SIDS.</w:t>
      </w:r>
    </w:p>
    <w:p>
      <w:pPr>
        <w:pStyle w:val="BodyText"/>
      </w:pPr>
      <w:r>
        <w:rPr>
          <w:iCs/>
          <w:i/>
        </w:rPr>
        <w:t xml:space="preserve">Hình 2.3.3.3. Đồ thị mật độ kernel của năng suất chuẩn hóa trong đợt cho 6 nhóm ICRV — Nhóm I hẹp nhất (P90/P10 ≈ 12 lần), Nhóm V rộng nhất (≈ 30 lần).</w:t>
      </w:r>
    </w:p>
    <w:p>
      <w:pPr>
        <w:pStyle w:val="BodyText"/>
      </w:pPr>
      <w:r>
        <w:rPr>
          <w:bCs/>
          <w:b/>
        </w:rPr>
        <w:t xml:space="preserve">Ba phát hiện từ phân tán trong đợt</w:t>
      </w:r>
      <w:r>
        <w:t xml:space="preserve">: (1)</w:t>
      </w:r>
      <w:r>
        <w:t xml:space="preserve"> </w:t>
      </w:r>
      <w:r>
        <w:rPr>
          <w:bCs/>
          <w:b/>
        </w:rPr>
        <w:t xml:space="preserve">Gradient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 0,45 (III) → 0,35 (IV)</w:t>
      </w:r>
      <w:r>
        <w:t xml:space="preserve">; Nhóm V–VI có outlier mạnh nên chỉ đọc trung vị (V≈0,41; VI≈0,47) —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meta-analysis của luận án (</w:t>
      </w:r>
      <m:oMath>
        <m:sSub>
          <m:e>
            <m:r>
              <m:t>Q</m:t>
            </m:r>
          </m:e>
          <m:sub>
            <m:r>
              <m:t>M</m:t>
            </m:r>
          </m:sub>
        </m:sSub>
        <m:r>
          <m:rPr>
            <m:sty m:val="p"/>
          </m:rPr>
          <m:t>=</m:t>
        </m:r>
        <m:r>
          <m:t>17</m:t>
        </m:r>
        <m:r>
          <m:rPr>
            <m:sty m:val="p"/>
          </m:rPr>
          <m:t>,</m:t>
        </m:r>
        <m:r>
          <m:t>35</m:t>
        </m:r>
      </m:oMath>
      <w:r>
        <w:t xml:space="preserve">) và gradient điểm uốn xuyên nhóm ICRV của nghiên cứu đa quốc gia (P7), chứ không chỉ vào thống kê mô tả.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 Adv. đổi mới</w:t>
            </w:r>
          </w:p>
        </w:tc>
        <w:tc>
          <w:tcPr/>
          <w:p>
            <w:pPr>
              <w:pStyle w:val="Compact"/>
              <w:jc w:val="left"/>
            </w:pPr>
            <w:r>
              <w:t xml:space="preserve">13,4</w:t>
            </w:r>
          </w:p>
        </w:tc>
        <w:tc>
          <w:tcPr/>
          <w:p>
            <w:pPr>
              <w:pStyle w:val="Compact"/>
              <w:jc w:val="left"/>
            </w:pPr>
            <w:r>
              <w:t xml:space="preserve">28,4</w:t>
            </w:r>
          </w:p>
        </w:tc>
        <w:tc>
          <w:tcPr/>
          <w:p>
            <w:pPr>
              <w:pStyle w:val="Compact"/>
              <w:jc w:val="left"/>
            </w:pPr>
            <w:r>
              <w:t xml:space="preserve">3,0</w:t>
            </w:r>
          </w:p>
        </w:tc>
      </w:tr>
      <w:tr>
        <w:tc>
          <w:tcPr/>
          <w:p>
            <w:pPr>
              <w:pStyle w:val="Compact"/>
              <w:jc w:val="left"/>
            </w:pPr>
            <w:r>
              <w:t xml:space="preserve">II —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pool mô tả 49 nền (FSTS = d3b + d3c; CAGR việc làm từ l1/l2 trên 3 năm tài khóa). ¹Nhóm II: đủ 6/6 nền GCC (Bahrain, Brunei, Kuwait, Oman, Qatar, Saudi Arabia). ²Nhóm VI: đủ 8/8 nền (7 Pacific + Timor-Leste; n=2.295).</w:t>
      </w:r>
    </w:p>
    <w:p>
      <w:pPr>
        <w:pStyle w:val="BodyText"/>
      </w:pPr>
      <w:r>
        <w:t xml:space="preserve">Trung vị FSTS bằng 0% —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 Adv. đổi mới</w:t>
            </w:r>
          </w:p>
        </w:tc>
        <w:tc>
          <w:tcPr/>
          <w:p>
            <w:pPr>
              <w:pStyle w:val="Compact"/>
              <w:jc w:val="left"/>
            </w:pPr>
            <w:r>
              <w:t xml:space="preserve">24,3</w:t>
            </w:r>
          </w:p>
        </w:tc>
        <w:tc>
          <w:tcPr/>
          <w:p>
            <w:pPr>
              <w:pStyle w:val="Compact"/>
              <w:jc w:val="left"/>
            </w:pPr>
            <w:r>
              <w:t xml:space="preserve">14,7</w:t>
            </w:r>
          </w:p>
        </w:tc>
        <w:tc>
          <w:tcPr/>
          <w:p>
            <w:pPr>
              <w:pStyle w:val="Compact"/>
              <w:jc w:val="left"/>
            </w:pPr>
            <w:r>
              <w:rPr>
                <w:bCs/>
                <w:b/>
              </w:rPr>
              <w:t xml:space="preserve">20,5</w:t>
            </w:r>
          </w:p>
        </w:tc>
        <w:tc>
          <w:tcPr/>
          <w:p>
            <w:pPr>
              <w:pStyle w:val="Compact"/>
              <w:jc w:val="left"/>
            </w:pPr>
            <w:r>
              <w:rPr>
                <w:bCs/>
                <w:b/>
              </w:rPr>
              <w:t xml:space="preserve">35,0</w:t>
            </w:r>
          </w:p>
        </w:tc>
        <w:tc>
          <w:tcPr/>
          <w:p>
            <w:pPr>
              <w:pStyle w:val="Compact"/>
              <w:jc w:val="left"/>
            </w:pPr>
            <w:r>
              <w:rPr>
                <w:bCs/>
                <w:b/>
              </w:rPr>
              <w:t xml:space="preserve">61,7</w:t>
            </w:r>
          </w:p>
        </w:tc>
      </w:tr>
      <w:tr>
        <w:tc>
          <w:tcPr/>
          <w:p>
            <w:pPr>
              <w:pStyle w:val="Compact"/>
              <w:jc w:val="left"/>
            </w:pPr>
            <w:r>
              <w:t xml:space="preserve">II —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25,4</w:t>
            </w:r>
          </w:p>
        </w:tc>
        <w:tc>
          <w:tcPr/>
          <w:p>
            <w:pPr>
              <w:pStyle w:val="Compact"/>
              <w:jc w:val="left"/>
            </w:pPr>
            <w:r>
              <w:t xml:space="preserve">53,9</w:t>
            </w:r>
          </w:p>
        </w:tc>
      </w:tr>
      <w:tr>
        <w:tc>
          <w:tcPr/>
          <w:p>
            <w:pPr>
              <w:pStyle w:val="Compact"/>
              <w:jc w:val="left"/>
            </w:pPr>
            <w:r>
              <w:t xml:space="preserve">IV —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 Đang nổi</w:t>
            </w:r>
          </w:p>
        </w:tc>
        <w:tc>
          <w:tcPr/>
          <w:p>
            <w:pPr>
              <w:pStyle w:val="Compact"/>
              <w:jc w:val="left"/>
            </w:pPr>
            <w:r>
              <w:t xml:space="preserve">24,4</w:t>
            </w:r>
          </w:p>
        </w:tc>
        <w:tc>
          <w:tcPr/>
          <w:p>
            <w:pPr>
              <w:pStyle w:val="Compact"/>
              <w:jc w:val="left"/>
            </w:pPr>
            <w:r>
              <w:t xml:space="preserve">16,3</w:t>
            </w:r>
          </w:p>
        </w:tc>
        <w:tc>
          <w:tcPr/>
          <w:p>
            <w:pPr>
              <w:pStyle w:val="Compact"/>
              <w:jc w:val="left"/>
            </w:pPr>
            <w:r>
              <w:t xml:space="preserve">17,5</w:t>
            </w:r>
          </w:p>
        </w:tc>
        <w:tc>
          <w:tcPr/>
          <w:p>
            <w:pPr>
              <w:pStyle w:val="Compact"/>
              <w:jc w:val="left"/>
            </w:pPr>
            <w:r>
              <w:t xml:space="preserve">12,7</w:t>
            </w:r>
          </w:p>
        </w:tc>
        <w:tc>
          <w:tcPr/>
          <w:p>
            <w:pPr>
              <w:pStyle w:val="Compact"/>
              <w:jc w:val="left"/>
            </w:pPr>
            <w:r>
              <w:t xml:space="preserve">40,9</w:t>
            </w:r>
          </w:p>
        </w:tc>
      </w:tr>
      <w:tr>
        <w:tc>
          <w:tcPr/>
          <w:p>
            <w:pPr>
              <w:pStyle w:val="Compact"/>
              <w:jc w:val="left"/>
            </w:pPr>
            <w:r>
              <w:t xml:space="preserve">VI —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tính từ dữ liệu vi mô WBES trên pool mô tả 49 nền (biến h1/h5/h8/b8/c22b; mã 1=có, 2=không; mã âm = thiếu). ¹Nhóm II: đủ 6/6 nền GCC — đặc trưng dầu mỏ: R&amp;D thấp (7,0%), nữ quản lý cấp cao rất thấp (4,6%), website 50,2%. ²Nhóm VI: đủ 8/8 nền — đổi mới sản phẩm cao nhất mọi nhóm (34,2%) và website 41,5%: pattern</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pattern</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 sáng tạo không chính thức bù đắp thiếu hụt nguồn lực; website 41,5% ngang nhóm Đang nổi dù GNI thấp hơn đáng kể. Gradient năng lực thể chế vẫn rõ ở các biến nền tảng: R&amp;D giảm từ 20,5% (Nhóm I) xuống 10,2% (Nhóm VI); ISO 35,0%→12,2%; website 61,7%→41,5%.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(+0,098 — Bảng 2.3.8.1), trong khi tỷ lệ có website ở nhóm này đã đạt 61,7%.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 Adv. đổi mới</w:t>
            </w:r>
          </w:p>
        </w:tc>
        <w:tc>
          <w:tcPr/>
          <w:p>
            <w:pPr>
              <w:pStyle w:val="Compact"/>
              <w:jc w:val="left"/>
            </w:pPr>
            <w:r>
              <w:t xml:space="preserve">79,5</w:t>
            </w:r>
          </w:p>
        </w:tc>
        <w:tc>
          <w:tcPr/>
          <w:p>
            <w:pPr>
              <w:pStyle w:val="Compact"/>
              <w:jc w:val="left"/>
            </w:pPr>
            <w:r>
              <w:t xml:space="preserve">28,4</w:t>
            </w:r>
          </w:p>
        </w:tc>
        <w:tc>
          <w:tcPr/>
          <w:p>
            <w:pPr>
              <w:pStyle w:val="Compact"/>
              <w:jc w:val="left"/>
            </w:pPr>
            <w:r>
              <w:t xml:space="preserve">10,6</w:t>
            </w:r>
          </w:p>
        </w:tc>
      </w:tr>
      <w:tr>
        <w:tc>
          <w:tcPr/>
          <w:p>
            <w:pPr>
              <w:pStyle w:val="Compact"/>
              <w:jc w:val="left"/>
            </w:pPr>
            <w:r>
              <w:t xml:space="preserve">II —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pool mô tả 49 nền (SME = &lt;100 lao động thường xuyên, biến l1; FDI = sở hữu nước ngoài ≥10%, biến b2b). ¹Nhóm II: đủ 6/6 nền GCC. ²Nhóm VI: đủ 8/8 nền — SME cao nhất (91,8%) và FDI cao (20,0%, do MNE du lịch/viễn thông).</w:t>
      </w:r>
    </w:p>
    <w:p>
      <w:pPr>
        <w:pStyle w:val="BodyText"/>
      </w:pPr>
      <w:r>
        <w:rPr>
          <w:iCs/>
          <w:i/>
        </w:rPr>
        <w:t xml:space="preserve">Hình 2.3.5.1. Stacked bar chart: Nhóm VI (SIDS, đủ 8/8 nền) có tỷ lệ SME cao nhất (91,8%), Nhóm V kế tiếp (85,7%), Nhóm IV thấp nhất (74,0%).</w:t>
      </w:r>
    </w:p>
    <w:p>
      <w:pPr>
        <w:pStyle w:val="BodyText"/>
      </w:pPr>
      <w:r>
        <w:t xml:space="preserve">Tỷ lệ FDI có dạng chữ U với cực tiểu ở Nhóm IV — Chuyển đổi TB-thấp (3,1%). SIDS có FDI cao (20,0%)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Nhóm V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62026"/>
    <w:p>
      <w:pPr>
        <w:pStyle w:val="Heading3"/>
      </w:pPr>
      <w:r>
        <w:t xml:space="preserve">2.3.6 Biến thiên theo thời gian (2006–2026)</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pool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 phù hợp luận điểm nhảy vọt số của Banalieva &amp; Dhanaraj (2019). Ngược chiều, tỷ lệ doanh nghiệp xuất khẩu của Nhóm IV giảm 11,3 điểm phần trăm — chủ yếu do đứt gãy schema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BodyText"/>
      </w:pPr>
      <w:r>
        <w:rPr>
          <w:iCs/>
          <w:i/>
        </w:rPr>
        <w:t xml:space="preserve">Hình 2.3.4.1. Slope chart minh họa thay đổi 5 chỉ số giữa 2 kỳ khảo sát cho 4 nhóm ICRV có dữ liệu hai kỳ (III–VI). Pattern nổi bật: website tăng mạnh ở IV/V/VI; FDI giảm nhẹ phổ biến; R&amp;D Nhóm V giảm mạnh do hiệu ứng schema.</w:t>
      </w:r>
    </w:p>
    <w:p>
      <w:pPr>
        <w:pStyle w:val="BodyText"/>
      </w:pPr>
      <w:r>
        <w:rPr>
          <w:iCs/>
          <w:i/>
        </w:rPr>
        <w:t xml:space="preserve">Hình 2.3.6.1. Radar/spider chart cho 3 nhóm (III, V, VI) trên 5 chiều (FSTS, Đổi mới sản phẩm, R&amp;D, Website, ISO) với 2 kỳ khảo sát 2006–2012 vs 2018–2026.</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văn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 số liệu tổng hợp pool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 khối FDI dẫn dắt có FSTS cao nhất nhưng R&amp;D thấp nhất (6,8%), khối dân số lớn ngược lại (R&amp;D 17,9%, ISO 28,0%); (4) Mông Cổ là trường hợp biên với đặc điểm tài nguyên (R&amp;D 33,7% nhưng FSTS chỉ 4,7%); (5) phân tán trong đợt 1,47 so với 1,25 — phân tầng hai tầng rõ hơn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12 nền kinh tế trong đợt khảo sát 2025 (n=14.712;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 bộ công cụ không tương đương với cross-section chuẩn nên không thuộc pool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 Saudi Arabia và Qatar có phân tán năng suất hẹp nhất toàn pool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 FSTS 1,0%,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640e052b3f06c462256ef7d8f217c058a16bb1c"/>
    <w:p>
      <w:pPr>
        <w:pStyle w:val="Heading4"/>
      </w:pPr>
      <w:r>
        <w:t xml:space="preserve">2.3.7.3 Việt Nam (3 đợt khảo sát 2009/2015/2023; pool mô tả n=3.077, mẫu phân tích của nghiên cứu Việt Nam n=2.958)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X3eef3800109897c00fac3d945a7a8114b94085f"/>
    <w:p>
      <w:pPr>
        <w:pStyle w:val="Heading4"/>
      </w:pPr>
      <w:r>
        <w:t xml:space="preserve">2.3.7.4 Trung Quốc (mẫu phân tích của nghiên cứu Trung Quốc n=4.559; pool mô tả gồm đợt 2024, n=2.189)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b1ea89452bf1110bc1349552d40001f4d757b22"/>
    <w:p>
      <w:pPr>
        <w:pStyle w:val="Heading4"/>
      </w:pPr>
      <w:r>
        <w:t xml:space="preserve">2.3.7.5 Tổng hợp khối châu Á mới nổi (7 nền, n=43.502) —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 phản ánh dị biệt rộng xuyên 7 nền (Bảng 2.3.6.4).</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654632a5ff13cfc4a4585d50f734613d84a6955"/>
    <w:p>
      <w:pPr>
        <w:pStyle w:val="Heading4"/>
      </w:pPr>
      <w:r>
        <w:t xml:space="preserve">2.3.7.6 Mông Cổ — từ lời nguyền tài nguyên đến khoáng sản thiết yếu (n=1.082, 3 đợt 2009/2013/2019)</w:t>
      </w:r>
    </w:p>
    <w:p>
      <w:pPr>
        <w:pStyle w:val="FirstParagraph"/>
      </w:pPr>
      <w:r>
        <w:t xml:space="preserve">FSTS đình trệ 4–6% (5,8% → 3,9% → 4,2%); FDI ≥10% giảm</w:t>
      </w:r>
      <w:r>
        <w:t xml:space="preserve"> </w:t>
      </w:r>
      <w:r>
        <w:rPr>
          <w:bCs/>
          <w:b/>
        </w:rPr>
        <w:t xml:space="preserve">7,2% → 4,2%</w:t>
      </w:r>
      <w:r>
        <w:t xml:space="preserve">; website dao động 39–49%.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2009–2019 (3 đợt khảo sát WBES) — FSTS đình trệ; FDI giảm dần phản ánh lời nguyền tài nguyên giai đoạn 1.</w:t>
      </w:r>
    </w:p>
    <w:bookmarkEnd w:id="63"/>
    <w:bookmarkStart w:id="64" w:name="sids-thái-bình-dương-7-nền-n1.781"/>
    <w:p>
      <w:pPr>
        <w:pStyle w:val="Heading4"/>
      </w:pPr>
      <w:r>
        <w:t xml:space="preserve">2.3.7.7 SIDS Thái Bình Dương (7 nền —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z-score trong từng cặp nền kinh tế × năm (bất biến tiền tệ), gộp theo 6 nhóm ICRV của pool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(pool mô tả 49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 Adv. đổi mới</w:t>
            </w:r>
          </w:p>
        </w:tc>
        <w:tc>
          <w:tcPr/>
          <w:p>
            <w:pPr>
              <w:pStyle w:val="Compact"/>
              <w:jc w:val="right"/>
            </w:pPr>
            <w:r>
              <w:t xml:space="preserve">II — Adv. tài nguyên</w:t>
            </w:r>
          </w:p>
        </w:tc>
        <w:tc>
          <w:tcPr/>
          <w:p>
            <w:pPr>
              <w:pStyle w:val="Compact"/>
              <w:jc w:val="right"/>
            </w:pPr>
            <w:r>
              <w:t xml:space="preserve">III — Trung bình cao</w:t>
            </w:r>
          </w:p>
        </w:tc>
        <w:tc>
          <w:tcPr/>
          <w:p>
            <w:pPr>
              <w:pStyle w:val="Compact"/>
              <w:jc w:val="right"/>
            </w:pPr>
            <w:r>
              <w:t xml:space="preserve">IV — Chuyển đổi TB-thấp</w:t>
            </w:r>
          </w:p>
        </w:tc>
        <w:tc>
          <w:tcPr/>
          <w:p>
            <w:pPr>
              <w:pStyle w:val="Compact"/>
              <w:jc w:val="right"/>
            </w:pPr>
            <w:r>
              <w:t xml:space="preserve">V — Đang nổi</w:t>
            </w:r>
          </w:p>
        </w:tc>
        <w:tc>
          <w:tcPr/>
          <w:p>
            <w:pPr>
              <w:pStyle w:val="Compact"/>
              <w:jc w:val="right"/>
            </w:pPr>
            <w:r>
              <w:t xml:space="preserve">VI — SIDS</w:t>
            </w:r>
          </w:p>
        </w:tc>
      </w:tr>
      <w:tr>
        <w:tc>
          <w:tcPr/>
          <w:p>
            <w:pPr>
              <w:pStyle w:val="Compact"/>
              <w:jc w:val="left"/>
            </w:pPr>
            <w:r>
              <w:t xml:space="preserve">FDI ≥ 10%</w:t>
            </w:r>
          </w:p>
        </w:tc>
        <w:tc>
          <w:tcPr/>
          <w:p>
            <w:pPr>
              <w:pStyle w:val="Compact"/>
              <w:jc w:val="right"/>
            </w:pPr>
            <w:r>
              <w:t xml:space="preserve">+0,130**</w:t>
            </w:r>
          </w:p>
        </w:tc>
        <w:tc>
          <w:tcPr/>
          <w:p>
            <w:pPr>
              <w:pStyle w:val="Compact"/>
              <w:jc w:val="right"/>
            </w:pPr>
            <w:r>
              <w:t xml:space="preserve">+0,114**</w:t>
            </w:r>
          </w:p>
        </w:tc>
        <w:tc>
          <w:tcPr/>
          <w:p>
            <w:pPr>
              <w:pStyle w:val="Compact"/>
              <w:jc w:val="right"/>
            </w:pPr>
            <w:r>
              <w:t xml:space="preserve">+0,124**</w:t>
            </w:r>
          </w:p>
        </w:tc>
        <w:tc>
          <w:tcPr/>
          <w:p>
            <w:pPr>
              <w:pStyle w:val="Compact"/>
              <w:jc w:val="right"/>
            </w:pPr>
            <w:r>
              <w:t xml:space="preserve">+0,072**</w:t>
            </w:r>
          </w:p>
        </w:tc>
        <w:tc>
          <w:tcPr/>
          <w:p>
            <w:pPr>
              <w:pStyle w:val="Compact"/>
              <w:jc w:val="right"/>
            </w:pPr>
            <w:r>
              <w:t xml:space="preserve">+0,057**</w:t>
            </w:r>
          </w:p>
        </w:tc>
        <w:tc>
          <w:tcPr/>
          <w:p>
            <w:pPr>
              <w:pStyle w:val="Compact"/>
              <w:jc w:val="right"/>
            </w:pPr>
            <w:r>
              <w:t xml:space="preserve">+0,122**</w:t>
            </w:r>
          </w:p>
        </w:tc>
      </w:tr>
      <w:tr>
        <w:tc>
          <w:tcPr/>
          <w:p>
            <w:pPr>
              <w:pStyle w:val="Compact"/>
              <w:jc w:val="left"/>
            </w:pPr>
            <w:r>
              <w:t xml:space="preserve">FSTS</w:t>
            </w:r>
          </w:p>
        </w:tc>
        <w:tc>
          <w:tcPr/>
          <w:p>
            <w:pPr>
              <w:pStyle w:val="Compact"/>
              <w:jc w:val="right"/>
            </w:pPr>
            <w:r>
              <w:rPr>
                <w:bCs/>
                <w:b/>
              </w:rPr>
              <w:t xml:space="preserve">+0,163**</w:t>
            </w:r>
          </w:p>
        </w:tc>
        <w:tc>
          <w:tcPr/>
          <w:p>
            <w:pPr>
              <w:pStyle w:val="Compact"/>
              <w:jc w:val="right"/>
            </w:pPr>
            <w:r>
              <w:t xml:space="preserve">+0,131**</w:t>
            </w:r>
          </w:p>
        </w:tc>
        <w:tc>
          <w:tcPr/>
          <w:p>
            <w:pPr>
              <w:pStyle w:val="Compact"/>
              <w:jc w:val="right"/>
            </w:pPr>
            <w:r>
              <w:t xml:space="preserve">+0,094**</w:t>
            </w:r>
          </w:p>
        </w:tc>
        <w:tc>
          <w:tcPr/>
          <w:p>
            <w:pPr>
              <w:pStyle w:val="Compact"/>
              <w:jc w:val="right"/>
            </w:pPr>
            <w:r>
              <w:t xml:space="preserve">+0,047**</w:t>
            </w:r>
          </w:p>
        </w:tc>
        <w:tc>
          <w:tcPr/>
          <w:p>
            <w:pPr>
              <w:pStyle w:val="Compact"/>
              <w:jc w:val="right"/>
            </w:pPr>
            <w:r>
              <w:t xml:space="preserve">+0,018*</w:t>
            </w:r>
          </w:p>
        </w:tc>
        <w:tc>
          <w:tcPr/>
          <w:p>
            <w:pPr>
              <w:pStyle w:val="Compact"/>
              <w:jc w:val="right"/>
            </w:pPr>
            <w:r>
              <w:rPr>
                <w:bCs/>
                <w:b/>
              </w:rPr>
              <w:t xml:space="preserve">−0,009 ns</w:t>
            </w:r>
          </w:p>
        </w:tc>
      </w:tr>
      <w:tr>
        <w:tc>
          <w:tcPr/>
          <w:p>
            <w:pPr>
              <w:pStyle w:val="Compact"/>
              <w:jc w:val="left"/>
            </w:pPr>
            <w:r>
              <w:t xml:space="preserve">TCI (R&amp;D + ISO)</w:t>
            </w:r>
          </w:p>
        </w:tc>
        <w:tc>
          <w:tcPr/>
          <w:p>
            <w:pPr>
              <w:pStyle w:val="Compact"/>
              <w:jc w:val="right"/>
            </w:pPr>
            <w:r>
              <w:t xml:space="preserve">+0,176**</w:t>
            </w:r>
          </w:p>
        </w:tc>
        <w:tc>
          <w:tcPr/>
          <w:p>
            <w:pPr>
              <w:pStyle w:val="Compact"/>
              <w:jc w:val="right"/>
            </w:pPr>
            <w:r>
              <w:t xml:space="preserve">+0,187**</w:t>
            </w:r>
          </w:p>
        </w:tc>
        <w:tc>
          <w:tcPr/>
          <w:p>
            <w:pPr>
              <w:pStyle w:val="Compact"/>
              <w:jc w:val="right"/>
            </w:pPr>
            <w:r>
              <w:rPr>
                <w:bCs/>
                <w:b/>
              </w:rPr>
              <w:t xml:space="preserve">+0,240**</w:t>
            </w:r>
          </w:p>
        </w:tc>
        <w:tc>
          <w:tcPr/>
          <w:p>
            <w:pPr>
              <w:pStyle w:val="Compact"/>
              <w:jc w:val="right"/>
            </w:pPr>
            <w:r>
              <w:t xml:space="preserve">+0,141**</w:t>
            </w:r>
          </w:p>
        </w:tc>
        <w:tc>
          <w:tcPr/>
          <w:p>
            <w:pPr>
              <w:pStyle w:val="Compact"/>
              <w:jc w:val="right"/>
            </w:pPr>
            <w:r>
              <w:t xml:space="preserve">+0,125**</w:t>
            </w:r>
          </w:p>
        </w:tc>
        <w:tc>
          <w:tcPr/>
          <w:p>
            <w:pPr>
              <w:pStyle w:val="Compact"/>
              <w:jc w:val="right"/>
            </w:pPr>
            <w:r>
              <w:t xml:space="preserve">+0,117**</w:t>
            </w:r>
          </w:p>
        </w:tc>
      </w:tr>
      <w:tr>
        <w:tc>
          <w:tcPr/>
          <w:p>
            <w:pPr>
              <w:pStyle w:val="Compact"/>
              <w:jc w:val="left"/>
            </w:pPr>
            <w:r>
              <w:t xml:space="preserve">DAI (website)</w:t>
            </w:r>
          </w:p>
        </w:tc>
        <w:tc>
          <w:tcPr/>
          <w:p>
            <w:pPr>
              <w:pStyle w:val="Compact"/>
              <w:jc w:val="right"/>
            </w:pPr>
            <w:r>
              <w:t xml:space="preserve">+0,098**</w:t>
            </w:r>
          </w:p>
        </w:tc>
        <w:tc>
          <w:tcPr/>
          <w:p>
            <w:pPr>
              <w:pStyle w:val="Compact"/>
              <w:jc w:val="right"/>
            </w:pPr>
            <w:r>
              <w:rPr>
                <w:bCs/>
                <w:b/>
              </w:rPr>
              <w:t xml:space="preserve">+0,201**</w:t>
            </w:r>
          </w:p>
        </w:tc>
        <w:tc>
          <w:tcPr/>
          <w:p>
            <w:pPr>
              <w:pStyle w:val="Compact"/>
              <w:jc w:val="right"/>
            </w:pPr>
            <w:r>
              <w:t xml:space="preserve">+0,124**</w:t>
            </w:r>
          </w:p>
        </w:tc>
        <w:tc>
          <w:tcPr/>
          <w:p>
            <w:pPr>
              <w:pStyle w:val="Compact"/>
              <w:jc w:val="right"/>
            </w:pPr>
            <w:r>
              <w:t xml:space="preserve">+0,180**</w:t>
            </w:r>
          </w:p>
        </w:tc>
        <w:tc>
          <w:tcPr/>
          <w:p>
            <w:pPr>
              <w:pStyle w:val="Compact"/>
              <w:jc w:val="right"/>
            </w:pPr>
            <w:r>
              <w:t xml:space="preserve">+0,111**</w:t>
            </w:r>
          </w:p>
        </w:tc>
        <w:tc>
          <w:tcPr/>
          <w:p>
            <w:pPr>
              <w:pStyle w:val="Compact"/>
              <w:jc w:val="right"/>
            </w:pPr>
            <w:r>
              <w:t xml:space="preserve">+0,092**</w:t>
            </w:r>
          </w:p>
        </w:tc>
      </w:tr>
    </w:tbl>
    <w:p>
      <w:pPr>
        <w:pStyle w:val="BodyText"/>
      </w:pPr>
      <w:r>
        <w:rPr>
          <w:iCs/>
          <w:i/>
        </w:rPr>
        <w:t xml:space="preserve">Ghi chú: ** p &lt; 0,01; * p &lt; 0,05; ns = không có ý nghĩa thống kê (kiểm định hai phía). LP-z = z-score của ln(doanh thu/lao động) trong từng cặp nền kinh tế × năm; FDI ≥10% từ b2b; FSTS = d3b + d3c; TCI = trung bình hai thành phần R&amp;D (h8) và ISO (b8); DAI = website (c22b). n theo nhóm: 3.620 / 2.082 / 10.138 / 40.508 / 15.669 / 1.715 (quan sát có LP hợp lệ). Hệ số tương quan Pearson —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(+0,117 đến +0,240) — năng lực công nghệ nền tảng là dịch chuyển mức phổ quát; (2)</w:t>
      </w:r>
      <w:r>
        <w:t xml:space="preserve"> </w:t>
      </w:r>
      <w:r>
        <w:rPr>
          <w:bCs/>
          <w:b/>
        </w:rPr>
        <w:t xml:space="preserve">gradient cường độ FSTS theo chiều thể chế</w:t>
      </w:r>
      <w:r>
        <w:t xml:space="preserve">: tương quan xuất khẩu–năng suất giảm đơn điệu từ +0,163 (Nhóm I) qua +0,047 (IV) và +0,018 (V) xuống</w:t>
      </w:r>
      <w:r>
        <w:t xml:space="preserve"> </w:t>
      </w:r>
      <w:r>
        <w:rPr>
          <w:bCs/>
          <w:b/>
        </w:rPr>
        <w:t xml:space="preserve">mất ý nghĩa ở SIDS (−0,009 ns)</w:t>
      </w:r>
      <w:r>
        <w:t xml:space="preserve"> </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ngoại lệ duy nhất về dấu của FSTS</w:t>
      </w:r>
      <w:r>
        <w:t xml:space="preserve"> </w:t>
      </w:r>
      <w:r>
        <w:t xml:space="preserve">—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+0,130 và SIDS +0,122) — hai cơ chế khác nhau: MNE hub tại Advanced và FDI ngoại sinh tại SIDS; (5)</w:t>
      </w:r>
      <w:r>
        <w:t xml:space="preserve"> </w:t>
      </w:r>
      <w:r>
        <w:rPr>
          <w:bCs/>
          <w:b/>
        </w:rPr>
        <w:t xml:space="preserve">DAI dương ở mọi nhóm nhưng thấp nhất tại Nhóm I (+0,098)</w:t>
      </w:r>
      <w:r>
        <w:t xml:space="preserve"> </w:t>
      </w:r>
      <w:r>
        <w:t xml:space="preserve">trong khi cao nhất ở II và IV (+0,201; +0,180) — phần bù của hiện diện số Tier-1 co lại nơi nó đã tiệm cận bão hòa (Nghịch lý bão hòa số ở dạng suy giảm lợi suất biên); (6)</w:t>
      </w:r>
      <w:r>
        <w:t xml:space="preserve"> </w:t>
      </w:r>
      <w:r>
        <w:rPr>
          <w:bCs/>
          <w:b/>
        </w:rPr>
        <w:t xml:space="preserve">biến thiên cường độ cross-regime có hệ thống</w:t>
      </w:r>
      <w:r>
        <w:t xml:space="preserve"> </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(+0,098 so với +0,180–0,201 ở các nhóm chuyển đổi/tài nguyên) — nơi Tier-1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1,04 (Nhóm I) lên 1,31–1,39 (Nhóm III–V); tỷ số P90/P10 leo từ ~12 lần (Nhóm I) lên ~30 lần (Nhóm V).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 R&amp;D 20,5% so với 7,0%; doanh nghiệp xuất khẩu 28,4% so với 11,7%; nữ quản lý cấp cao 27,5% so với 4,6%; phân tán năng suất trong đợt đặc biệt hẹp ở hai nền lớn nhất Vùng Vịnh (Saudi Arabia 0,49; Qatar 0,33 so với Singapore 1,08 — chênh hơn</w:t>
      </w:r>
      <w:r>
        <w:t xml:space="preserve"> </w:t>
      </w:r>
      <w:r>
        <w:rPr>
          <w:bCs/>
          <w:b/>
        </w:rPr>
        <w:t xml:space="preserve">2 lần</w:t>
      </w:r>
      <w:r>
        <w:t xml:space="preserve">, đặc trưng nhà nước tô) — cần phân nhóm con Advanced trong Chuyên đề 2.</w:t>
      </w:r>
    </w:p>
    <w:p>
      <w:pPr>
        <w:pStyle w:val="BodyText"/>
      </w:pPr>
      <w:r>
        <w:rPr>
          <w:bCs/>
          <w:b/>
        </w:rPr>
        <w:t xml:space="preserve">(iii) Dị biệt nội bộ khối châu Á mới nổi — 3 phân nhóm con</w:t>
      </w:r>
      <w:r>
        <w:t xml:space="preserve">: FDI dẫn dắt SEA (VNM+IDN+PHL, FSTS 12,4%) ≠ dân số lớn (IND+LKA+JOR, FSTS 7,1%) ≠ tài nguyên (MNG, FSTS 4,7%).</w:t>
      </w:r>
    </w:p>
    <w:p>
      <w:pPr>
        <w:pStyle w:val="BodyText"/>
      </w:pPr>
      <w:r>
        <w:rPr>
          <w:bCs/>
          <w:b/>
        </w:rPr>
        <w:t xml:space="preserve">(iv) SIDS Pacific — Kiribati 2025 là trường hợp biên cực đoan nhất</w:t>
      </w:r>
      <w:r>
        <w:t xml:space="preserve">: FSTS 1,0%, FDI 0,7%, website 18,7%, ISO 1,4%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(+0,098) là dấu hiệu bão hòa Tier-1 — xem kiểm định loại trừ ICT tại §2.3.4.3.</w:t>
      </w:r>
    </w:p>
    <w:p>
      <w:pPr>
        <w:pStyle w:val="BodyText"/>
      </w:pPr>
      <w:r>
        <w:rPr>
          <w:bCs/>
          <w:b/>
        </w:rPr>
        <w:t xml:space="preserve">(vii) Pattern phi tuyến FDI ≥10%</w:t>
      </w:r>
      <w:r>
        <w:t xml:space="preserve"> </w:t>
      </w:r>
      <w:r>
        <w:t xml:space="preserve">— dạng chữ U với cực tiểu ở Nhóm IV (3,1%): Advanced 10,6–13,6% → Nhóm IV 3,1% → SIDS 20,0%. Hai mô hình FDI: MNE hub (Advanced) và du lịch/viễn thông (SIDS).</w:t>
      </w:r>
    </w:p>
    <w:p>
      <w:pPr>
        <w:pStyle w:val="BodyText"/>
      </w:pPr>
      <w:r>
        <w:rPr>
          <w:bCs/>
          <w:b/>
        </w:rPr>
        <w:t xml:space="preserve">(viii) Đợt khảo sát 2025 — mẫu đơn năm lớn nhất</w:t>
      </w:r>
      <w:r>
        <w:t xml:space="preserve">: 12 nền kinh tế × 14.712 doanh nghiệp (17,0% pool).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102 cặp nền kinh tế–năm.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Phần bù tương quan DAI suy giảm rõ ở Advanced (+0,098 — thấp nhất sáu nhóm) có thể phản ánh: (a) bão hòa thực sự của Tier-1; (b) nhân quả ngược; (c) bias biến bỏ sót. Biến công cụ hợp lệ (độ phủ băng thông rộng) cần thiết để phân biệt.</w:t>
      </w:r>
    </w:p>
    <w:p>
      <w:pPr>
        <w:pStyle w:val="BodyText"/>
      </w:pPr>
      <w:r>
        <w:rPr>
          <w:bCs/>
          <w:b/>
        </w:rPr>
        <w:t xml:space="preserve">KT4 —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102 cặp nền kinh tế–năm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Tương quan FSTS–năng suất dương mạnh tại Advanced (+0,163), suy yếu dần theo chiều thể chế và mất ý nghĩa tại SIDS (−0,009 ns) —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đổi dấu —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Khung 49 nền với 91.982 doanh nghiệp ở tầng ước lượng (pool phân loại 96.415 DN / 52 nền) và 86.701 doanh nghiệp / 102 cặp nền kinh tế × năm ở tầng mô tả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49 nền kinh tế châu Á – Thái Bình Dương (pool mô tả 86.701 doanh nghiệp / 102 cặp nền kinh tế × năm, WBES 2006–2026; khung ước lượng của luận án 91.982 doanh nghiệp):</w:t>
      </w:r>
    </w:p>
    <w:p>
      <w:pPr>
        <w:pStyle w:val="BodyText"/>
      </w:pPr>
      <w:r>
        <w:rPr>
          <w:bCs/>
          <w:b/>
        </w:rPr>
        <w:t xml:space="preserve">KL1 —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tương quan dương mạnh và đồng đều ở mọi nhóm; phần bù DAI biến thiên cường độ gấp đôi giữa các nhóm ICRV (+0,098 ở Advanced so với +0,201 ở Advanced tài nguyên) — đây là nội hàm cốt lõi của CDCM.</w:t>
      </w:r>
    </w:p>
    <w:p>
      <w:pPr>
        <w:pStyle w:val="BodyText"/>
      </w:pPr>
      <w:r>
        <w:rPr>
          <w:bCs/>
          <w:b/>
        </w:rPr>
        <w:t xml:space="preserve">KL3 — Nghịch lý bão hòa số là cơ chế đo lường, không phải thất bại thị trường</w:t>
      </w:r>
      <w:r>
        <w:t xml:space="preserve">: Phần bù DAI thấp nhất tại Advanced là hệ quả của đo lường Tier-1 trong bối cảnh Tier-2/3 đã được áp dụng rộng.</w:t>
      </w:r>
    </w:p>
    <w:p>
      <w:pPr>
        <w:pStyle w:val="BodyText"/>
      </w:pPr>
      <w:r>
        <w:rPr>
          <w:bCs/>
          <w:b/>
        </w:rPr>
        <w:t xml:space="preserve">KL4 —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(+0,122) là nguồn năng suất chủ đạo; tương quan FSTS–năng suất bằng không (−0,009, không có ý nghĩa thống kê) — nhóm duy nhất nơi xuất khẩu không gắn với phần bù năng suất.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(49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ae890b6b8cd68e0e0e491cfb5e11fd1c6a9c2d"/>
    <w:p>
      <w:pPr>
        <w:pStyle w:val="Heading3"/>
      </w:pPr>
      <w:r>
        <w:t xml:space="preserve">Phụ lục A — Phạm vi thực tế của pool dữ liệu WBES</w:t>
      </w:r>
    </w:p>
    <w:p>
      <w:pPr>
        <w:pStyle w:val="FirstParagraph"/>
      </w:pPr>
      <w:r>
        <w:rPr>
          <w:bCs/>
          <w:b/>
        </w:rPr>
        <w:t xml:space="preserve">Bảng A.1</w:t>
      </w:r>
      <w:r>
        <w:t xml:space="preserve">.</w:t>
      </w:r>
      <w:r>
        <w:t xml:space="preserve"> </w:t>
      </w:r>
      <w:r>
        <w:rPr>
          <w:iCs/>
          <w:i/>
        </w:rPr>
        <w:t xml:space="preserve">Phân bổ 49 nền kinh tế theo nhóm ICRV — pool mô tả 86.701 doanh nghiệp, 102 cặp nền kinh tế × năm, 2006–2026.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 Advanced đổi mới sáng tạo (5 nền)</w:t>
            </w:r>
          </w:p>
        </w:tc>
        <w:tc>
          <w:tcPr/>
          <w:p>
            <w:pPr>
              <w:pStyle w:val="Compact"/>
              <w:jc w:val="left"/>
            </w:pPr>
            <w:r>
              <w:t xml:space="preserve">Hàn Quốc (2024), Israel (2013, 2024), Singapore (2023), Đài Loan (2024), Hong Kong SAR (2023)</w:t>
            </w:r>
          </w:p>
        </w:tc>
        <w:tc>
          <w:tcPr/>
          <w:p>
            <w:pPr>
              <w:pStyle w:val="Compact"/>
              <w:jc w:val="right"/>
            </w:pPr>
            <w:r>
              <w:t xml:space="preserve">6</w:t>
            </w:r>
          </w:p>
        </w:tc>
        <w:tc>
          <w:tcPr/>
          <w:p>
            <w:pPr>
              <w:pStyle w:val="Compact"/>
              <w:jc w:val="right"/>
            </w:pPr>
            <w:r>
              <w:t xml:space="preserve">4.222</w:t>
            </w:r>
          </w:p>
        </w:tc>
      </w:tr>
      <w:tr>
        <w:tc>
          <w:tcPr/>
          <w:p>
            <w:pPr>
              <w:pStyle w:val="Compact"/>
              <w:jc w:val="left"/>
            </w:pPr>
            <w:r>
              <w:rPr>
                <w:bCs/>
                <w:b/>
              </w:rPr>
              <w:t xml:space="preserve">Nhóm II —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2.231</w:t>
            </w:r>
          </w:p>
        </w:tc>
      </w:tr>
      <w:tr>
        <w:tc>
          <w:tcPr/>
          <w:p>
            <w:pPr>
              <w:pStyle w:val="Compact"/>
              <w:jc w:val="left"/>
            </w:pPr>
            <w:r>
              <w:rPr>
                <w:bCs/>
                <w:b/>
              </w:rPr>
              <w:t xml:space="preserve">Nhóm III — Trung bình cao (6 nền)</w:t>
            </w:r>
          </w:p>
        </w:tc>
        <w:tc>
          <w:tcPr/>
          <w:p>
            <w:pPr>
              <w:pStyle w:val="Compact"/>
              <w:jc w:val="left"/>
            </w:pPr>
            <w:r>
              <w:t xml:space="preserve">Kazakhstan (2009, 2013, 2019, 2024), Malaysia (2015, 2019, 2024), Trung Quốc (2024), Thái Lan (2016, 2025), Armenia (2009, 2013, 2020, 2024), Georgia (2013, 2019, 2023)</w:t>
            </w:r>
          </w:p>
        </w:tc>
        <w:tc>
          <w:tcPr/>
          <w:p>
            <w:pPr>
              <w:pStyle w:val="Compact"/>
              <w:jc w:val="right"/>
            </w:pPr>
            <w:r>
              <w:t xml:space="preserve">17</w:t>
            </w:r>
          </w:p>
        </w:tc>
        <w:tc>
          <w:tcPr/>
          <w:p>
            <w:pPr>
              <w:pStyle w:val="Compact"/>
              <w:jc w:val="right"/>
            </w:pPr>
            <w:r>
              <w:t xml:space="preserve">13.993</w:t>
            </w:r>
          </w:p>
        </w:tc>
      </w:tr>
      <w:tr>
        <w:tc>
          <w:tcPr/>
          <w:p>
            <w:pPr>
              <w:pStyle w:val="Compact"/>
              <w:jc w:val="left"/>
            </w:pPr>
            <w:r>
              <w:rPr>
                <w:bCs/>
                <w:b/>
              </w:rPr>
              <w:t xml:space="preserve">Nhóm IV —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45.003</w:t>
            </w:r>
          </w:p>
        </w:tc>
      </w:tr>
      <w:tr>
        <w:tc>
          <w:tcPr/>
          <w:p>
            <w:pPr>
              <w:pStyle w:val="Compact"/>
              <w:jc w:val="left"/>
            </w:pPr>
            <w:r>
              <w:rPr>
                <w:bCs/>
                <w:b/>
              </w:rPr>
              <w:t xml:space="preserve">Nhóm V — Đang nổi (17 nền)</w:t>
            </w:r>
          </w:p>
        </w:tc>
        <w:tc>
          <w:tcPr/>
          <w:p>
            <w:pPr>
              <w:pStyle w:val="Compact"/>
              <w:jc w:val="left"/>
            </w:pPr>
            <w:r>
              <w:t xml:space="preserve">Uzbekistan, Jordan, Lào, Iraq, Myanmar, Kyrgyzstan, Sri Lanka, Lebanon, Tajikistan, Campuchia, Afghanistan, Yemen, Bhutan, Nepal, Azerbaijan, Turkmenistan, Maldives (các đợt 2006–2025)</w:t>
            </w:r>
          </w:p>
        </w:tc>
        <w:tc>
          <w:tcPr/>
          <w:p>
            <w:pPr>
              <w:pStyle w:val="Compact"/>
              <w:jc w:val="right"/>
            </w:pPr>
            <w:r>
              <w:t xml:space="preserve">40</w:t>
            </w:r>
          </w:p>
        </w:tc>
        <w:tc>
          <w:tcPr/>
          <w:p>
            <w:pPr>
              <w:pStyle w:val="Compact"/>
              <w:jc w:val="right"/>
            </w:pPr>
            <w:r>
              <w:t xml:space="preserve">18.957</w:t>
            </w:r>
          </w:p>
        </w:tc>
      </w:tr>
      <w:tr>
        <w:tc>
          <w:tcPr/>
          <w:p>
            <w:pPr>
              <w:pStyle w:val="Compact"/>
              <w:jc w:val="left"/>
            </w:pPr>
            <w:r>
              <w:rPr>
                <w:bCs/>
                <w:b/>
              </w:rPr>
              <w:t xml:space="preserve">Nhóm VI —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2.295</w:t>
            </w:r>
          </w:p>
        </w:tc>
      </w:tr>
      <w:tr>
        <w:tc>
          <w:tcPr/>
          <w:p>
            <w:pPr>
              <w:pStyle w:val="Compact"/>
              <w:jc w:val="left"/>
            </w:pPr>
            <w:r>
              <w:rPr>
                <w:bCs/>
                <w:b/>
              </w:rPr>
              <w:t xml:space="preserve">Tổng</w:t>
            </w:r>
          </w:p>
        </w:tc>
        <w:tc>
          <w:tcPr/>
          <w:p>
            <w:pPr>
              <w:pStyle w:val="Compact"/>
              <w:jc w:val="left"/>
            </w:pPr>
            <w:r>
              <w:rPr>
                <w:bCs/>
                <w:b/>
              </w:rPr>
              <w:t xml:space="preserve">49 nền kinh tế</w:t>
            </w:r>
          </w:p>
        </w:tc>
        <w:tc>
          <w:tcPr/>
          <w:p>
            <w:pPr>
              <w:pStyle w:val="Compact"/>
              <w:jc w:val="right"/>
            </w:pPr>
            <w:r>
              <w:rPr>
                <w:bCs/>
                <w:b/>
              </w:rPr>
              <w:t xml:space="preserve">102</w:t>
            </w:r>
          </w:p>
        </w:tc>
        <w:tc>
          <w:tcPr/>
          <w:p>
            <w:pPr>
              <w:pStyle w:val="Compact"/>
              <w:jc w:val="right"/>
            </w:pPr>
            <w:r>
              <w:rPr>
                <w:bCs/>
                <w:b/>
              </w:rPr>
              <w:t xml:space="preserve">86.701</w:t>
            </w:r>
          </w:p>
        </w:tc>
      </w:tr>
    </w:tbl>
    <w:p>
      <w:pPr>
        <w:pStyle w:val="BodyText"/>
      </w:pPr>
      <w:r>
        <w:rPr>
          <w:iCs/>
          <w:i/>
        </w:rPr>
        <w:t xml:space="preserve">Ghi chú: mỗi cặp nền kinh tế × năm lấy đúng một cross-section chuẩn WBES; loại các điều tra phi chính thức, siêu nhỏ (Micro) và panel mở rộng; chỉ nhận đợt khảo sát từ 2006 trở đi (bộ câu hỏi so sánh được toàn cầu). Khung ước lượng của luận án (91.982 doanh nghiệp / 49 nền; pool phân loại 96.415 / 52 nền) được hợp nhất và hài hòa hóa riêng theo quy trình tại Phụ lục A của luận án; hai khung thống nhất về danh sách nền kinh tế và nhãn nhóm ICRV.</w:t>
      </w:r>
    </w:p>
    <w:p>
      <w:pPr>
        <w:pStyle w:val="BodyText"/>
      </w:pPr>
      <w:r>
        <w:rPr>
          <w:bCs/>
          <w:b/>
        </w:rPr>
        <w:t xml:space="preserve">Ba thế hệ schema WBES trong pool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57</w:t>
            </w:r>
          </w:p>
        </w:tc>
        <w:tc>
          <w:tcPr/>
          <w:p>
            <w:pPr>
              <w:pStyle w:val="Compact"/>
              <w:jc w:val="right"/>
            </w:pPr>
            <w:r>
              <w:t xml:space="preserve">54.713</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2026-06-12T08:56:19Z</dcterms:created>
  <dcterms:modified xsi:type="dcterms:W3CDTF">2026-06-12T08:56:19Z</dcterms:modified>
</cp:coreProperties>
</file>

<file path=docProps/custom.xml><?xml version="1.0" encoding="utf-8"?>
<Properties xmlns="http://schemas.openxmlformats.org/officeDocument/2006/custom-properties" xmlns:vt="http://schemas.openxmlformats.org/officeDocument/2006/docPropsVTypes"/>
</file>